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B" w:rsidRDefault="00EC02EB" w:rsidP="00EC02EB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  <w:r w:rsidRPr="00591343">
        <w:rPr>
          <w:sz w:val="28"/>
          <w:szCs w:val="28"/>
        </w:rPr>
        <w:t>Приложение</w:t>
      </w:r>
    </w:p>
    <w:p w:rsidR="00EC02EB" w:rsidRPr="00591343" w:rsidRDefault="00EC02EB" w:rsidP="00EC02EB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</w:p>
    <w:p w:rsidR="00EC02EB" w:rsidRPr="00591343" w:rsidRDefault="00EC02EB" w:rsidP="00EC02EB">
      <w:pPr>
        <w:pStyle w:val="Heading"/>
        <w:widowControl w:val="0"/>
        <w:ind w:left="567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34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EC02EB" w:rsidRPr="00591343" w:rsidRDefault="00EC02EB" w:rsidP="00EC02EB">
      <w:pPr>
        <w:pStyle w:val="a7"/>
        <w:widowControl w:val="0"/>
        <w:spacing w:before="0" w:beforeAutospacing="0"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постановлением администрации</w:t>
      </w:r>
    </w:p>
    <w:p w:rsidR="00EC02EB" w:rsidRPr="00591343" w:rsidRDefault="00EC02EB" w:rsidP="00EC02EB">
      <w:pPr>
        <w:pStyle w:val="a7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муниципального образования</w:t>
      </w:r>
    </w:p>
    <w:p w:rsidR="00EC02EB" w:rsidRPr="00591343" w:rsidRDefault="00EC02EB" w:rsidP="00EC02EB">
      <w:pPr>
        <w:pStyle w:val="a7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Гулькевичский район</w:t>
      </w:r>
    </w:p>
    <w:p w:rsidR="00EC02EB" w:rsidRPr="00591343" w:rsidRDefault="00EC02EB" w:rsidP="00EC02EB">
      <w:pPr>
        <w:pStyle w:val="a7"/>
        <w:widowControl w:val="0"/>
        <w:spacing w:after="0" w:afterAutospacing="0"/>
        <w:ind w:left="5670"/>
        <w:contextualSpacing/>
        <w:rPr>
          <w:sz w:val="28"/>
          <w:szCs w:val="28"/>
        </w:rPr>
      </w:pPr>
      <w:r w:rsidRPr="00591343">
        <w:rPr>
          <w:bCs/>
          <w:sz w:val="28"/>
          <w:szCs w:val="28"/>
        </w:rPr>
        <w:t xml:space="preserve">от __________ № </w:t>
      </w:r>
      <w:r w:rsidRPr="00591343">
        <w:rPr>
          <w:sz w:val="28"/>
          <w:szCs w:val="28"/>
        </w:rPr>
        <w:t>____</w:t>
      </w:r>
    </w:p>
    <w:p w:rsidR="00EC02EB" w:rsidRDefault="00EC02EB" w:rsidP="00EC02EB">
      <w:pPr>
        <w:tabs>
          <w:tab w:val="left" w:pos="7371"/>
        </w:tabs>
        <w:ind w:firstLine="708"/>
        <w:jc w:val="right"/>
        <w:rPr>
          <w:sz w:val="28"/>
          <w:szCs w:val="28"/>
        </w:rPr>
      </w:pPr>
    </w:p>
    <w:p w:rsidR="00EC02EB" w:rsidRDefault="00EC02EB" w:rsidP="00EC02EB">
      <w:pPr>
        <w:jc w:val="center"/>
        <w:rPr>
          <w:color w:val="000000"/>
          <w:sz w:val="28"/>
          <w:szCs w:val="28"/>
        </w:rPr>
      </w:pPr>
      <w:r w:rsidRPr="00033295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ОРМА</w:t>
      </w:r>
    </w:p>
    <w:p w:rsidR="00EC02EB" w:rsidRPr="00033295" w:rsidRDefault="00EC02EB" w:rsidP="00EC02E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проверочного листа</w:t>
      </w:r>
      <w:r w:rsidRPr="000332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(списка контрольных вопросов, ответы на которые свидетельствуют о соблюдении или не соблюдении контролируемым лицом обязательных требований) </w:t>
      </w:r>
      <w:r w:rsidRPr="00033295">
        <w:rPr>
          <w:color w:val="000000"/>
          <w:sz w:val="28"/>
          <w:szCs w:val="28"/>
        </w:rPr>
        <w:t xml:space="preserve">используемого при осуществлении муниципального </w:t>
      </w:r>
      <w:r w:rsidRPr="00282A03">
        <w:rPr>
          <w:sz w:val="28"/>
          <w:szCs w:val="28"/>
          <w:lang w:eastAsia="en-US"/>
        </w:rPr>
        <w:t xml:space="preserve"> контроля </w:t>
      </w:r>
      <w:r w:rsidRPr="00673640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</w:t>
      </w:r>
      <w:r>
        <w:rPr>
          <w:sz w:val="28"/>
          <w:szCs w:val="28"/>
        </w:rPr>
        <w:t xml:space="preserve"> образования Гулькевичский район</w:t>
      </w:r>
    </w:p>
    <w:p w:rsidR="00EC02EB" w:rsidRDefault="00EC02EB" w:rsidP="00EC02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C02EB" w:rsidRDefault="00EC02EB" w:rsidP="00EC02EB">
      <w:pPr>
        <w:jc w:val="center"/>
      </w:pPr>
      <w:r w:rsidRPr="00755C8C">
        <w:t>(наименование контрольного органа)</w:t>
      </w:r>
    </w:p>
    <w:p w:rsidR="00EC02EB" w:rsidRDefault="00EC02EB" w:rsidP="00EC02EB">
      <w:pPr>
        <w:jc w:val="center"/>
      </w:pPr>
    </w:p>
    <w:p w:rsidR="00EC02EB" w:rsidRDefault="00EC02EB" w:rsidP="00EC02EB">
      <w:pPr>
        <w:jc w:val="center"/>
        <w:rPr>
          <w:sz w:val="28"/>
          <w:szCs w:val="28"/>
          <w:u w:val="single"/>
          <w:lang w:eastAsia="en-US"/>
        </w:rPr>
      </w:pPr>
      <w:r w:rsidRPr="00755C8C">
        <w:rPr>
          <w:u w:val="single"/>
        </w:rPr>
        <w:t>МУНИЦИПАЛЬНЫЙ КОНТРОЛЬ</w:t>
      </w:r>
      <w:r w:rsidRPr="00EC02EB">
        <w:rPr>
          <w:sz w:val="28"/>
          <w:szCs w:val="28"/>
          <w:u w:val="single"/>
          <w:lang w:eastAsia="en-US"/>
        </w:rPr>
        <w:t xml:space="preserve"> </w:t>
      </w:r>
    </w:p>
    <w:p w:rsidR="00EC02EB" w:rsidRDefault="00EC02EB" w:rsidP="00EC02EB">
      <w:pPr>
        <w:jc w:val="center"/>
        <w:rPr>
          <w:u w:val="single"/>
        </w:rPr>
      </w:pPr>
      <w:r w:rsidRPr="00EC02EB">
        <w:rPr>
          <w:u w:val="single"/>
          <w:lang w:eastAsia="en-US"/>
        </w:rPr>
        <w:t>НА АВТОМОБИЛЬНОМ ТРАНСПОРТЕ, ГОРОДСКОМ НАЗЕМНОМ ЭЛЕКТРИЧЕСКОМ ТРАНСПОРТЕ И В ДОРОЖНОМ ХОЗЯЙСТВЕ</w:t>
      </w:r>
    </w:p>
    <w:p w:rsidR="00EC02EB" w:rsidRDefault="00EC02EB" w:rsidP="00EC02EB">
      <w:pPr>
        <w:tabs>
          <w:tab w:val="left" w:pos="7371"/>
        </w:tabs>
        <w:jc w:val="center"/>
        <w:rPr>
          <w:u w:val="single"/>
        </w:rPr>
      </w:pPr>
      <w:r w:rsidRPr="00755C8C">
        <w:rPr>
          <w:u w:val="single"/>
        </w:rPr>
        <w:t>(</w:t>
      </w:r>
      <w:r>
        <w:rPr>
          <w:u w:val="single"/>
        </w:rPr>
        <w:t>вид</w:t>
      </w:r>
      <w:r w:rsidRPr="00755C8C">
        <w:rPr>
          <w:u w:val="single"/>
        </w:rPr>
        <w:t xml:space="preserve"> муниципальн</w:t>
      </w:r>
      <w:r>
        <w:rPr>
          <w:u w:val="single"/>
        </w:rPr>
        <w:t>ого</w:t>
      </w:r>
      <w:r w:rsidRPr="00755C8C">
        <w:rPr>
          <w:u w:val="single"/>
        </w:rPr>
        <w:t xml:space="preserve"> контрол</w:t>
      </w:r>
      <w:r>
        <w:rPr>
          <w:u w:val="single"/>
        </w:rPr>
        <w:t>я</w:t>
      </w:r>
      <w:r w:rsidRPr="00755C8C">
        <w:rPr>
          <w:u w:val="single"/>
        </w:rPr>
        <w:t>)</w:t>
      </w:r>
    </w:p>
    <w:p w:rsidR="00EC02EB" w:rsidRPr="00755C8C" w:rsidRDefault="00EC02EB" w:rsidP="00EC02EB">
      <w:pPr>
        <w:tabs>
          <w:tab w:val="left" w:pos="7371"/>
        </w:tabs>
        <w:jc w:val="center"/>
        <w:rPr>
          <w:u w:val="single"/>
        </w:rPr>
      </w:pPr>
    </w:p>
    <w:tbl>
      <w:tblPr>
        <w:tblW w:w="4891" w:type="pct"/>
        <w:tblInd w:w="108" w:type="dxa"/>
        <w:tblLook w:val="0000"/>
      </w:tblPr>
      <w:tblGrid>
        <w:gridCol w:w="3543"/>
        <w:gridCol w:w="6095"/>
      </w:tblGrid>
      <w:tr w:rsidR="00EC02EB" w:rsidRPr="00567809" w:rsidTr="008340A1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EC02EB" w:rsidRPr="008D2161" w:rsidRDefault="00EC02EB" w:rsidP="008340A1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EC02EB" w:rsidRPr="008D2161" w:rsidRDefault="00EC02EB" w:rsidP="008340A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D2161">
              <w:rPr>
                <w:rFonts w:ascii="Times New Roman" w:hAnsi="Times New Roman" w:cs="Times New Roman"/>
              </w:rPr>
              <w:t>QR-код</w:t>
            </w:r>
          </w:p>
          <w:p w:rsidR="00EC02EB" w:rsidRPr="008D2161" w:rsidRDefault="00EC02EB" w:rsidP="008340A1">
            <w:pPr>
              <w:tabs>
                <w:tab w:val="left" w:pos="5985"/>
              </w:tabs>
              <w:jc w:val="right"/>
            </w:pPr>
          </w:p>
        </w:tc>
      </w:tr>
      <w:tr w:rsidR="00EC02EB" w:rsidRPr="00567809" w:rsidTr="008340A1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EC02EB" w:rsidRPr="008D2161" w:rsidRDefault="00EC02EB" w:rsidP="008340A1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EC02EB" w:rsidRPr="008D2161" w:rsidRDefault="00EC02EB" w:rsidP="008340A1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C02EB" w:rsidRDefault="00EC02EB" w:rsidP="00EC0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Проверочного листа</w:t>
      </w:r>
      <w:r w:rsidRPr="00033295">
        <w:rPr>
          <w:color w:val="000000"/>
          <w:sz w:val="28"/>
          <w:szCs w:val="28"/>
        </w:rPr>
        <w:t xml:space="preserve"> </w:t>
      </w:r>
    </w:p>
    <w:p w:rsidR="00EC02EB" w:rsidRDefault="00EC02EB" w:rsidP="00EC02EB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(списка контрольных вопросов, ответы на которые свидетельствуют </w:t>
      </w:r>
      <w:proofErr w:type="gramEnd"/>
    </w:p>
    <w:p w:rsidR="00EC02EB" w:rsidRDefault="00EC02EB" w:rsidP="00EC0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соблюдении или не соблюдении контролируемым лицом обязательных требований) </w:t>
      </w:r>
      <w:r w:rsidRPr="00033295">
        <w:rPr>
          <w:color w:val="000000"/>
          <w:sz w:val="28"/>
          <w:szCs w:val="28"/>
        </w:rPr>
        <w:t xml:space="preserve">используемого при осуществлении муниципального </w:t>
      </w:r>
    </w:p>
    <w:p w:rsidR="00EC02EB" w:rsidRPr="00033295" w:rsidRDefault="00EC02EB" w:rsidP="00EC02EB">
      <w:pPr>
        <w:jc w:val="center"/>
        <w:rPr>
          <w:sz w:val="28"/>
          <w:szCs w:val="28"/>
        </w:rPr>
      </w:pPr>
      <w:r w:rsidRPr="00033295">
        <w:rPr>
          <w:color w:val="000000"/>
          <w:sz w:val="28"/>
          <w:szCs w:val="28"/>
        </w:rPr>
        <w:t xml:space="preserve">контроля </w:t>
      </w:r>
      <w:r w:rsidR="004B593E" w:rsidRPr="00673640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</w:t>
      </w:r>
      <w:r w:rsidR="004B593E">
        <w:rPr>
          <w:sz w:val="28"/>
          <w:szCs w:val="28"/>
        </w:rPr>
        <w:t xml:space="preserve"> образования Гулькевичский район</w:t>
      </w:r>
    </w:p>
    <w:p w:rsidR="00EC02EB" w:rsidRPr="00755C8C" w:rsidRDefault="00EC02EB" w:rsidP="00EC02EB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02EB" w:rsidRPr="00755C8C" w:rsidRDefault="00EC02EB" w:rsidP="00EC02EB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Вид</w:t>
      </w:r>
      <w:r w:rsidRPr="0003329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ьного мероприятия</w:t>
      </w:r>
      <w:r w:rsidRPr="000332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C02EB" w:rsidRPr="00A02C44" w:rsidRDefault="00EC02EB" w:rsidP="00EC02E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02C44">
        <w:rPr>
          <w:rFonts w:ascii="Times New Roman" w:hAnsi="Times New Roman"/>
          <w:sz w:val="24"/>
          <w:szCs w:val="24"/>
        </w:rPr>
        <w:t>(вы</w:t>
      </w:r>
      <w:r w:rsidR="00250467">
        <w:rPr>
          <w:rFonts w:ascii="Times New Roman" w:hAnsi="Times New Roman"/>
          <w:sz w:val="24"/>
          <w:szCs w:val="24"/>
        </w:rPr>
        <w:t xml:space="preserve">ездные проверки (плановые либо </w:t>
      </w:r>
      <w:r w:rsidRPr="00A02C44">
        <w:rPr>
          <w:rFonts w:ascii="Times New Roman" w:hAnsi="Times New Roman"/>
          <w:sz w:val="24"/>
          <w:szCs w:val="24"/>
        </w:rPr>
        <w:t xml:space="preserve">внеплановые) иные плановые контрольные мероприятия, внеплановые контрольные мероприятия (за исключением контрольного мероприятия, </w:t>
      </w:r>
      <w:proofErr w:type="gramStart"/>
      <w:r w:rsidRPr="00A02C44">
        <w:rPr>
          <w:rFonts w:ascii="Times New Roman" w:hAnsi="Times New Roman"/>
          <w:sz w:val="24"/>
          <w:szCs w:val="24"/>
        </w:rPr>
        <w:t>основанием</w:t>
      </w:r>
      <w:proofErr w:type="gramEnd"/>
      <w:r w:rsidRPr="00A02C44">
        <w:rPr>
          <w:rFonts w:ascii="Times New Roman" w:hAnsi="Times New Roman"/>
          <w:sz w:val="24"/>
          <w:szCs w:val="24"/>
        </w:rPr>
        <w:t xml:space="preserve"> для проведения которого является иссечение срока исполнения решения контрольного органа об устранении выявленного нарушения обязательных требований), а также  контрольных мероприятий на основании программы проверок)</w:t>
      </w:r>
    </w:p>
    <w:p w:rsidR="00EC02EB" w:rsidRPr="008D2161" w:rsidRDefault="00EC02EB" w:rsidP="00EC02EB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заполнения проверочного листа «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______20____г.</w:t>
      </w:r>
    </w:p>
    <w:p w:rsidR="00EC02EB" w:rsidRPr="00A02C44" w:rsidRDefault="00EC02EB" w:rsidP="00EC02EB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 муниципального контроля, в отношении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оторого проводится контрольное 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мероприятие: 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</w:t>
      </w:r>
    </w:p>
    <w:p w:rsidR="00EC02EB" w:rsidRPr="00033295" w:rsidRDefault="00EC02EB" w:rsidP="00EC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EC02EB" w:rsidRDefault="00EC02EB" w:rsidP="00EC02E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Контролируемое лицо________________________________________</w:t>
      </w:r>
    </w:p>
    <w:p w:rsidR="00EC02EB" w:rsidRPr="00033295" w:rsidRDefault="00EC02EB" w:rsidP="00EC02EB">
      <w:pPr>
        <w:tabs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proofErr w:type="gramStart"/>
      <w:r w:rsidRPr="005A141B">
        <w:rPr>
          <w:color w:val="000000"/>
          <w:spacing w:val="-2"/>
        </w:rPr>
        <w:t>____________________________________________________</w:t>
      </w:r>
      <w:r>
        <w:rPr>
          <w:color w:val="000000"/>
          <w:spacing w:val="-2"/>
        </w:rPr>
        <w:t>_____________________________ (</w:t>
      </w:r>
      <w:r w:rsidRPr="005A141B">
        <w:rPr>
          <w:color w:val="000000"/>
          <w:spacing w:val="-2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5A141B">
        <w:rPr>
          <w:color w:val="000000"/>
          <w:spacing w:val="-2"/>
        </w:rPr>
        <w:lastRenderedPageBreak/>
        <w:t>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color w:val="000000"/>
          <w:spacing w:val="-2"/>
          <w:sz w:val="28"/>
          <w:szCs w:val="28"/>
        </w:rPr>
        <w:t>)</w:t>
      </w:r>
      <w:proofErr w:type="gramEnd"/>
    </w:p>
    <w:p w:rsidR="00EC02EB" w:rsidRDefault="00EC02EB" w:rsidP="00EC02EB">
      <w:pPr>
        <w:numPr>
          <w:ilvl w:val="0"/>
          <w:numId w:val="6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33295">
        <w:rPr>
          <w:color w:val="000000"/>
          <w:spacing w:val="-2"/>
          <w:sz w:val="28"/>
          <w:szCs w:val="28"/>
        </w:rPr>
        <w:t>Место (места) проведения контрольного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033295">
        <w:rPr>
          <w:color w:val="000000"/>
          <w:spacing w:val="-2"/>
          <w:sz w:val="28"/>
          <w:szCs w:val="28"/>
        </w:rPr>
        <w:t>мероприятия с заполнением проверочного листа ___________</w:t>
      </w:r>
      <w:r>
        <w:rPr>
          <w:color w:val="000000"/>
          <w:spacing w:val="-2"/>
          <w:sz w:val="28"/>
          <w:szCs w:val="28"/>
        </w:rPr>
        <w:t>________________________________________</w:t>
      </w:r>
    </w:p>
    <w:p w:rsidR="00EC02EB" w:rsidRPr="00033295" w:rsidRDefault="00EC02EB" w:rsidP="00EC02E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EC02EB" w:rsidRPr="00033295" w:rsidRDefault="00EC02EB" w:rsidP="00EC02EB">
      <w:pPr>
        <w:numPr>
          <w:ilvl w:val="0"/>
          <w:numId w:val="6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33295">
        <w:rPr>
          <w:color w:val="000000"/>
          <w:spacing w:val="-2"/>
          <w:sz w:val="28"/>
          <w:szCs w:val="28"/>
        </w:rPr>
        <w:t xml:space="preserve">Реквизиты решения контрольного органа о проведении контрольного мероприятия, подписанного уполномоченным лицом контрольного органа </w:t>
      </w:r>
      <w:r>
        <w:rPr>
          <w:color w:val="000000"/>
          <w:spacing w:val="-2"/>
          <w:sz w:val="28"/>
          <w:szCs w:val="28"/>
        </w:rPr>
        <w:t xml:space="preserve">                   </w:t>
      </w:r>
      <w:proofErr w:type="gramStart"/>
      <w:r w:rsidRPr="00033295">
        <w:rPr>
          <w:color w:val="000000"/>
          <w:spacing w:val="-2"/>
          <w:sz w:val="28"/>
          <w:szCs w:val="28"/>
        </w:rPr>
        <w:t>от</w:t>
      </w:r>
      <w:proofErr w:type="gramEnd"/>
      <w:r w:rsidRPr="00033295">
        <w:rPr>
          <w:color w:val="000000"/>
          <w:spacing w:val="-2"/>
          <w:sz w:val="28"/>
          <w:szCs w:val="28"/>
        </w:rPr>
        <w:t xml:space="preserve"> _____________</w:t>
      </w:r>
      <w:r>
        <w:rPr>
          <w:color w:val="000000"/>
          <w:spacing w:val="-2"/>
          <w:sz w:val="28"/>
          <w:szCs w:val="28"/>
        </w:rPr>
        <w:t>_____</w:t>
      </w:r>
      <w:r w:rsidRPr="00033295">
        <w:rPr>
          <w:color w:val="000000"/>
          <w:spacing w:val="-2"/>
          <w:sz w:val="28"/>
          <w:szCs w:val="28"/>
        </w:rPr>
        <w:t xml:space="preserve"> № _________</w:t>
      </w:r>
    </w:p>
    <w:p w:rsidR="00EC02EB" w:rsidRDefault="00EC02EB" w:rsidP="00EC02EB">
      <w:pPr>
        <w:numPr>
          <w:ilvl w:val="0"/>
          <w:numId w:val="6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33295">
        <w:rPr>
          <w:color w:val="000000"/>
          <w:spacing w:val="-2"/>
          <w:sz w:val="28"/>
          <w:szCs w:val="28"/>
        </w:rPr>
        <w:t xml:space="preserve">Учетный номер контрольного </w:t>
      </w:r>
      <w:r>
        <w:rPr>
          <w:color w:val="000000"/>
          <w:spacing w:val="-2"/>
          <w:sz w:val="28"/>
          <w:szCs w:val="28"/>
        </w:rPr>
        <w:t>мероприятия и дата присвоения учетного номера проверки в едином реестре проверок _____________________</w:t>
      </w:r>
    </w:p>
    <w:p w:rsidR="00EC02EB" w:rsidRPr="005A141B" w:rsidRDefault="00EC02EB" w:rsidP="00EC02EB">
      <w:pPr>
        <w:jc w:val="center"/>
        <w:rPr>
          <w:color w:val="000000"/>
          <w:spacing w:val="-2"/>
        </w:rPr>
      </w:pPr>
      <w:r w:rsidRPr="005A141B">
        <w:rPr>
          <w:color w:val="000000"/>
          <w:spacing w:val="-2"/>
        </w:rPr>
        <w:t>(указывается учетный номер  проверки и дата его присвоения в ЕРП/ЕРКНМ)</w:t>
      </w:r>
    </w:p>
    <w:p w:rsidR="00EC02EB" w:rsidRDefault="00EC02EB" w:rsidP="00EC02EB">
      <w:pPr>
        <w:numPr>
          <w:ilvl w:val="0"/>
          <w:numId w:val="6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33295">
        <w:rPr>
          <w:color w:val="000000"/>
          <w:spacing w:val="-2"/>
          <w:sz w:val="28"/>
          <w:szCs w:val="28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 ______________________________________</w:t>
      </w:r>
      <w:r>
        <w:rPr>
          <w:color w:val="000000"/>
          <w:spacing w:val="-2"/>
          <w:sz w:val="28"/>
          <w:szCs w:val="28"/>
        </w:rPr>
        <w:t>___________________________</w:t>
      </w:r>
    </w:p>
    <w:p w:rsidR="00EC02EB" w:rsidRPr="00033295" w:rsidRDefault="00EC02EB" w:rsidP="00EC02E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EC02EB" w:rsidRPr="00033295" w:rsidRDefault="00EC02EB" w:rsidP="00EC02EB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Форма п</w:t>
      </w:r>
      <w:r w:rsidRPr="00033295">
        <w:rPr>
          <w:color w:val="000000"/>
          <w:spacing w:val="-2"/>
          <w:sz w:val="28"/>
          <w:szCs w:val="28"/>
        </w:rPr>
        <w:t xml:space="preserve">роверочный лист утвержден постановлением администрации </w:t>
      </w:r>
      <w:r w:rsidRPr="00672C99">
        <w:rPr>
          <w:sz w:val="28"/>
          <w:szCs w:val="28"/>
        </w:rPr>
        <w:t xml:space="preserve">муниципального образования </w:t>
      </w:r>
      <w:r w:rsidRPr="00033295">
        <w:rPr>
          <w:bCs/>
          <w:sz w:val="28"/>
          <w:szCs w:val="28"/>
        </w:rPr>
        <w:t>Гулькевичский район</w:t>
      </w:r>
      <w:r>
        <w:rPr>
          <w:bCs/>
          <w:sz w:val="28"/>
          <w:szCs w:val="28"/>
        </w:rPr>
        <w:t xml:space="preserve">                              </w:t>
      </w:r>
      <w:proofErr w:type="gramStart"/>
      <w:r>
        <w:rPr>
          <w:bCs/>
          <w:sz w:val="28"/>
          <w:szCs w:val="28"/>
        </w:rPr>
        <w:t>о</w:t>
      </w:r>
      <w:r w:rsidRPr="00033295">
        <w:rPr>
          <w:color w:val="000000"/>
          <w:spacing w:val="-2"/>
          <w:sz w:val="28"/>
          <w:szCs w:val="28"/>
        </w:rPr>
        <w:t>т</w:t>
      </w:r>
      <w:proofErr w:type="gramEnd"/>
      <w:r w:rsidRPr="00033295">
        <w:rPr>
          <w:color w:val="000000"/>
          <w:spacing w:val="-2"/>
          <w:sz w:val="28"/>
          <w:szCs w:val="28"/>
        </w:rPr>
        <w:t xml:space="preserve"> ___________</w:t>
      </w:r>
      <w:r>
        <w:rPr>
          <w:color w:val="000000"/>
          <w:spacing w:val="-2"/>
          <w:sz w:val="28"/>
          <w:szCs w:val="28"/>
        </w:rPr>
        <w:t>__№ ______</w:t>
      </w:r>
    </w:p>
    <w:p w:rsidR="00EC02EB" w:rsidRPr="00033295" w:rsidRDefault="00EC02EB" w:rsidP="00EC02E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33295">
        <w:rPr>
          <w:color w:val="000000"/>
          <w:spacing w:val="-2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color w:val="000000"/>
          <w:spacing w:val="-2"/>
          <w:sz w:val="28"/>
          <w:szCs w:val="28"/>
        </w:rPr>
        <w:t>, составляющих предмет проверки</w:t>
      </w:r>
      <w:r w:rsidRPr="00033295">
        <w:rPr>
          <w:color w:val="000000"/>
          <w:spacing w:val="-2"/>
          <w:sz w:val="28"/>
          <w:szCs w:val="28"/>
        </w:rPr>
        <w:t>:</w:t>
      </w:r>
    </w:p>
    <w:p w:rsidR="00EC02EB" w:rsidRDefault="00EC02EB" w:rsidP="00282A03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</w:p>
    <w:tbl>
      <w:tblPr>
        <w:tblW w:w="9668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701"/>
        <w:gridCol w:w="2409"/>
        <w:gridCol w:w="851"/>
        <w:gridCol w:w="850"/>
        <w:gridCol w:w="1701"/>
        <w:gridCol w:w="1720"/>
      </w:tblGrid>
      <w:tr w:rsidR="00250467" w:rsidRPr="00FF1F30" w:rsidTr="00612D10">
        <w:tc>
          <w:tcPr>
            <w:tcW w:w="436" w:type="dxa"/>
            <w:vMerge w:val="restar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 xml:space="preserve">№ </w:t>
            </w:r>
            <w:proofErr w:type="spellStart"/>
            <w:proofErr w:type="gramStart"/>
            <w:r w:rsidRPr="00612D10">
              <w:t>п</w:t>
            </w:r>
            <w:proofErr w:type="spellEnd"/>
            <w:proofErr w:type="gramEnd"/>
            <w:r w:rsidRPr="00612D10">
              <w:t>/</w:t>
            </w:r>
            <w:proofErr w:type="spellStart"/>
            <w:r w:rsidRPr="00612D10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Перечень вопросов, отражающих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Вывод о соблюдении установленных требований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5A7796"/>
              <w:left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Способ подтверждения соблюдения установленных требований</w:t>
            </w:r>
          </w:p>
        </w:tc>
        <w:tc>
          <w:tcPr>
            <w:tcW w:w="1720" w:type="dxa"/>
            <w:vMerge w:val="restart"/>
            <w:tcBorders>
              <w:top w:val="single" w:sz="4" w:space="0" w:color="5A7796"/>
              <w:left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Примечание</w:t>
            </w:r>
          </w:p>
        </w:tc>
      </w:tr>
      <w:tr w:rsidR="00250467" w:rsidRPr="00FF1F30" w:rsidTr="00612D10">
        <w:trPr>
          <w:trHeight w:val="315"/>
        </w:trPr>
        <w:tc>
          <w:tcPr>
            <w:tcW w:w="436" w:type="dxa"/>
            <w:vMerge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vAlign w:val="center"/>
            <w:hideMark/>
          </w:tcPr>
          <w:p w:rsidR="00250467" w:rsidRPr="00612D10" w:rsidRDefault="00250467" w:rsidP="00612D10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vAlign w:val="center"/>
            <w:hideMark/>
          </w:tcPr>
          <w:p w:rsidR="00250467" w:rsidRPr="00612D10" w:rsidRDefault="00250467" w:rsidP="00612D10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vAlign w:val="center"/>
            <w:hideMark/>
          </w:tcPr>
          <w:p w:rsidR="00250467" w:rsidRPr="00612D10" w:rsidRDefault="00250467" w:rsidP="00612D1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Да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0467" w:rsidRPr="00612D10" w:rsidRDefault="00250467" w:rsidP="00612D10">
            <w:pPr>
              <w:jc w:val="center"/>
            </w:pPr>
            <w:r w:rsidRPr="00612D10"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50467" w:rsidRPr="00612D10" w:rsidRDefault="00250467" w:rsidP="00612D10">
            <w:pPr>
              <w:jc w:val="both"/>
              <w:rPr>
                <w:b/>
              </w:rPr>
            </w:pPr>
          </w:p>
        </w:tc>
        <w:tc>
          <w:tcPr>
            <w:tcW w:w="1720" w:type="dxa"/>
            <w:vMerge/>
            <w:tcBorders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50467" w:rsidRPr="00612D10" w:rsidRDefault="00250467" w:rsidP="00612D10">
            <w:pPr>
              <w:jc w:val="both"/>
              <w:rPr>
                <w:b/>
              </w:rPr>
            </w:pP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Паспортизация автомобильных дорог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612D10">
              <w:rPr>
                <w:b w:val="0"/>
                <w:sz w:val="24"/>
                <w:szCs w:val="24"/>
              </w:rPr>
              <w:t xml:space="preserve">требования ч.1 ст. 15, </w:t>
            </w:r>
            <w:r w:rsidR="00250467" w:rsidRPr="00612D10">
              <w:rPr>
                <w:b w:val="0"/>
                <w:sz w:val="24"/>
                <w:szCs w:val="24"/>
              </w:rPr>
              <w:t xml:space="preserve"> </w:t>
            </w:r>
            <w:r w:rsidRPr="00612D10">
              <w:rPr>
                <w:b w:val="0"/>
                <w:sz w:val="24"/>
                <w:szCs w:val="24"/>
              </w:rPr>
              <w:t xml:space="preserve">ч. 2 и ч. 3 ст. 17 Федерального закона от 08.11.2007 г. </w:t>
            </w:r>
            <w:r w:rsidR="00612D10">
              <w:rPr>
                <w:b w:val="0"/>
                <w:sz w:val="24"/>
                <w:szCs w:val="24"/>
              </w:rPr>
              <w:t xml:space="preserve">                    </w:t>
            </w:r>
            <w:r w:rsidRPr="00612D10">
              <w:rPr>
                <w:b w:val="0"/>
                <w:sz w:val="24"/>
                <w:szCs w:val="24"/>
              </w:rPr>
              <w:t>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250467" w:rsidRPr="00612D10">
              <w:rPr>
                <w:b w:val="0"/>
                <w:sz w:val="24"/>
                <w:szCs w:val="24"/>
              </w:rPr>
              <w:t xml:space="preserve"> (далее – Федерального закона от 08.11.2007 г. № 257 – ФЗ)</w:t>
            </w:r>
            <w:r w:rsidRPr="00612D10">
              <w:rPr>
                <w:b w:val="0"/>
                <w:sz w:val="24"/>
                <w:szCs w:val="24"/>
              </w:rPr>
              <w:t xml:space="preserve">, </w:t>
            </w:r>
            <w:r w:rsidR="00250467" w:rsidRPr="00612D10">
              <w:rPr>
                <w:b w:val="0"/>
                <w:color w:val="000000"/>
                <w:sz w:val="24"/>
                <w:szCs w:val="24"/>
              </w:rPr>
              <w:t xml:space="preserve">Федеральный закон «О безопасности дорожного движения» от 10.12.1995 г. </w:t>
            </w:r>
            <w:r w:rsidR="00612D10">
              <w:rPr>
                <w:b w:val="0"/>
                <w:color w:val="000000"/>
                <w:sz w:val="24"/>
                <w:szCs w:val="24"/>
              </w:rPr>
              <w:t xml:space="preserve">                      </w:t>
            </w:r>
            <w:r w:rsidR="00250467" w:rsidRPr="00612D10">
              <w:rPr>
                <w:b w:val="0"/>
                <w:color w:val="000000"/>
                <w:sz w:val="24"/>
                <w:szCs w:val="24"/>
              </w:rPr>
              <w:lastRenderedPageBreak/>
              <w:t xml:space="preserve">№ 196-ФЗ </w:t>
            </w:r>
            <w:proofErr w:type="spellStart"/>
            <w:r w:rsidRPr="00612D10">
              <w:rPr>
                <w:b w:val="0"/>
                <w:sz w:val="24"/>
                <w:szCs w:val="24"/>
              </w:rPr>
              <w:t>пп</w:t>
            </w:r>
            <w:proofErr w:type="spellEnd"/>
            <w:r w:rsidRPr="00612D10">
              <w:rPr>
                <w:b w:val="0"/>
                <w:sz w:val="24"/>
                <w:szCs w:val="24"/>
              </w:rPr>
              <w:t>. 4 п</w:t>
            </w:r>
            <w:proofErr w:type="gramEnd"/>
            <w:r w:rsidRPr="00612D10">
              <w:rPr>
                <w:b w:val="0"/>
                <w:sz w:val="24"/>
                <w:szCs w:val="24"/>
              </w:rPr>
              <w:t>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</w:t>
            </w:r>
            <w:r w:rsidR="00250467" w:rsidRPr="00612D10">
              <w:rPr>
                <w:b w:val="0"/>
                <w:sz w:val="24"/>
                <w:szCs w:val="24"/>
              </w:rPr>
              <w:t xml:space="preserve"> г.</w:t>
            </w:r>
            <w:r w:rsidRPr="00612D10">
              <w:rPr>
                <w:b w:val="0"/>
                <w:sz w:val="24"/>
                <w:szCs w:val="24"/>
              </w:rPr>
              <w:t xml:space="preserve"> № 402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Предоставление паспорта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Оценка </w:t>
            </w:r>
            <w:proofErr w:type="gramStart"/>
            <w:r w:rsidRPr="00612D10"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ч. 2 ст. 17</w:t>
            </w:r>
            <w:r w:rsidR="00250467" w:rsidRPr="00612D10">
              <w:t xml:space="preserve">, </w:t>
            </w:r>
            <w:r w:rsidRPr="00612D10">
              <w:t xml:space="preserve">Федерального закона </w:t>
            </w:r>
            <w:r w:rsidR="00250467" w:rsidRPr="00612D10">
              <w:t xml:space="preserve"> </w:t>
            </w:r>
            <w:r w:rsidRPr="00612D10">
              <w:t xml:space="preserve">от 08.11.2007 </w:t>
            </w:r>
            <w:r w:rsidR="008340A1" w:rsidRPr="00612D10">
              <w:t xml:space="preserve">г. </w:t>
            </w:r>
            <w:r w:rsidR="00612D10">
              <w:t xml:space="preserve">                     </w:t>
            </w:r>
            <w:r w:rsidRPr="00612D10">
              <w:t xml:space="preserve">№ 257-ФЗ 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Представление результатов оценки уровня содержания (актов, предписаний)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ч. 4 ст. 17</w:t>
            </w:r>
            <w:r w:rsidR="00612D10" w:rsidRPr="00612D10">
              <w:t>,</w:t>
            </w:r>
            <w:r w:rsidRPr="00612D10">
              <w:t xml:space="preserve"> </w:t>
            </w:r>
            <w:r w:rsidR="00612D10" w:rsidRPr="00612D10">
              <w:t>Ф</w:t>
            </w:r>
            <w:r w:rsidRPr="00612D10">
              <w:t>едерального закона</w:t>
            </w:r>
            <w:r w:rsidR="00612D10" w:rsidRPr="00612D10">
              <w:t xml:space="preserve">    </w:t>
            </w:r>
            <w:r w:rsidRPr="00612D10">
              <w:t>от 08.11.2007</w:t>
            </w:r>
            <w:r w:rsidR="00F208AE" w:rsidRPr="00612D10">
              <w:t xml:space="preserve"> г.</w:t>
            </w:r>
            <w:r w:rsidR="00612D10">
              <w:t xml:space="preserve">                     </w:t>
            </w:r>
            <w:r w:rsidR="00F208AE" w:rsidRPr="00612D10">
              <w:t xml:space="preserve"> </w:t>
            </w:r>
            <w:r w:rsidRPr="00612D10">
              <w:t>№ 257-ФЗ</w:t>
            </w:r>
            <w:r w:rsidR="00F208AE" w:rsidRPr="00612D10">
              <w:t xml:space="preserve">; </w:t>
            </w:r>
            <w:r w:rsidRPr="00612D10">
              <w:t xml:space="preserve">п.п. 2-4 Порядка проведения оценки технического состояния автомобильных дорог (Приказ Минтранса России от 07.08.2020 </w:t>
            </w:r>
            <w:r w:rsidR="00F208AE" w:rsidRPr="00612D10">
              <w:t xml:space="preserve">г. </w:t>
            </w:r>
            <w:r w:rsidRPr="00612D10">
              <w:t>№ 288)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Результаты повторной диагностики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4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ч.2 ст. 30 Федерального закона от 08.11.2007</w:t>
            </w:r>
            <w:r w:rsidR="00612D10" w:rsidRPr="00612D10">
              <w:t xml:space="preserve">г. </w:t>
            </w:r>
            <w:r w:rsidRPr="00612D10">
              <w:t xml:space="preserve"> </w:t>
            </w:r>
            <w:r w:rsidR="004365F1">
              <w:t xml:space="preserve">                           </w:t>
            </w:r>
            <w:r w:rsidRPr="00612D10">
              <w:t>№ 257-ФЗ;</w:t>
            </w:r>
          </w:p>
          <w:p w:rsidR="00017664" w:rsidRPr="00612D10" w:rsidRDefault="00017664" w:rsidP="00612D10">
            <w:pPr>
              <w:jc w:val="both"/>
              <w:rPr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Акт о введении временных ограничений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5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Результаты контроля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6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Проведение мониторинга, </w:t>
            </w:r>
            <w:r w:rsidRPr="00612D10">
              <w:lastRenderedPageBreak/>
              <w:t>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 xml:space="preserve">ч. 8 ст. 26 Федерального закона </w:t>
            </w:r>
            <w:r w:rsidRPr="00612D10">
              <w:lastRenderedPageBreak/>
              <w:t xml:space="preserve">от 08.11.2007 </w:t>
            </w:r>
            <w:r w:rsidR="00612D10" w:rsidRPr="00612D10">
              <w:t xml:space="preserve">г. </w:t>
            </w:r>
            <w:r w:rsidR="00612D10">
              <w:t xml:space="preserve">                      </w:t>
            </w:r>
            <w:r w:rsidRPr="00612D10">
              <w:t>№ 257-ФЗ»;</w:t>
            </w:r>
          </w:p>
          <w:p w:rsidR="00017664" w:rsidRPr="00612D10" w:rsidRDefault="00017664" w:rsidP="00612D10">
            <w:pPr>
              <w:jc w:val="both"/>
            </w:pPr>
            <w:proofErr w:type="gramStart"/>
            <w:r w:rsidRPr="00612D10">
              <w:t>приказ Минтранса России от 12.11.2013</w:t>
            </w:r>
            <w:r w:rsidR="00F208AE" w:rsidRPr="00612D10">
              <w:t xml:space="preserve"> г.</w:t>
            </w:r>
            <w:r w:rsidRPr="00612D10">
              <w:t xml:space="preserve">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Результаты мониторинга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Для владельцев автомобильных </w:t>
            </w:r>
            <w:r w:rsidRPr="00612D10">
              <w:lastRenderedPageBreak/>
              <w:t>дорог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Покрытие проезжей части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а п. 13.2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8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Водоотвод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а п. 13.2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9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Сцепные качества дорожного покрытия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б п. 13.2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rPr>
          <w:trHeight w:val="1236"/>
        </w:trPr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Ровность дорожного покрытия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в п. 13.2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11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Обочина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 xml:space="preserve">. </w:t>
            </w:r>
            <w:proofErr w:type="spellStart"/>
            <w:r w:rsidRPr="00612D10">
              <w:t>д</w:t>
            </w:r>
            <w:proofErr w:type="spellEnd"/>
            <w:r w:rsidRPr="00612D10">
              <w:t xml:space="preserve">, </w:t>
            </w:r>
            <w:proofErr w:type="gramStart"/>
            <w:r w:rsidRPr="00612D10">
              <w:t>г</w:t>
            </w:r>
            <w:proofErr w:type="gramEnd"/>
            <w:r w:rsidRPr="00612D10">
              <w:t xml:space="preserve"> п. 13.2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12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Видимость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е п. 13.2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13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Мосты, путепроводы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13.3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14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Тоннели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 xml:space="preserve">. а, </w:t>
            </w:r>
            <w:proofErr w:type="gramStart"/>
            <w:r w:rsidRPr="00612D10">
              <w:t>б</w:t>
            </w:r>
            <w:proofErr w:type="gramEnd"/>
            <w:r w:rsidRPr="00612D10">
              <w:t>, в п. 13.4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15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Дорожные знаки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а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16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Дорожная разметка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б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17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Светофоры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</w:t>
            </w:r>
            <w:r w:rsidR="00612D10" w:rsidRPr="00612D10">
              <w:t>«</w:t>
            </w:r>
            <w:r w:rsidRPr="00612D10">
              <w:t>Безопасность автомобильных дорог</w:t>
            </w:r>
            <w:r w:rsidR="00612D10" w:rsidRPr="00612D10">
              <w:t>»</w:t>
            </w:r>
            <w:r w:rsidRPr="00612D10">
              <w:t xml:space="preserve"> </w:t>
            </w:r>
            <w:proofErr w:type="spellStart"/>
            <w:r w:rsidRPr="00612D10">
              <w:t>пп</w:t>
            </w:r>
            <w:proofErr w:type="spellEnd"/>
            <w:r w:rsidRPr="00612D10">
              <w:t>. в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18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Направляющие устройства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г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Железнодорожные переезды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 xml:space="preserve">. </w:t>
            </w:r>
            <w:proofErr w:type="spellStart"/>
            <w:r w:rsidRPr="00612D10">
              <w:t>д</w:t>
            </w:r>
            <w:proofErr w:type="spellEnd"/>
            <w:r w:rsidRPr="00612D10">
              <w:t xml:space="preserve">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20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Временные знаки и светофоры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12D10">
              <w:t>пп</w:t>
            </w:r>
            <w:proofErr w:type="spellEnd"/>
            <w:r w:rsidRPr="00612D10">
              <w:t>. е п. 13.5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21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Ограждения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22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Горизонтальная освещенность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23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Наружная реклама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24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Очистка покрытия от снега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13.9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25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Ликвидация зимней скользкости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26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proofErr w:type="spellStart"/>
            <w:r w:rsidRPr="00612D10">
              <w:t>Противолавин</w:t>
            </w:r>
            <w:r w:rsidR="008340A1" w:rsidRPr="00612D10">
              <w:t>-</w:t>
            </w:r>
            <w:r w:rsidRPr="00612D10">
              <w:t>ные</w:t>
            </w:r>
            <w:proofErr w:type="spellEnd"/>
            <w:r w:rsidRPr="00612D10"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13.9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27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Проведение входного контроля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Технический регламент Таможенного союза «Безопасность </w:t>
            </w:r>
            <w:r w:rsidRPr="00612D10">
              <w:lastRenderedPageBreak/>
              <w:t>автомобильных дорог» п. 24.1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Результаты проведения входного контроля, </w:t>
            </w:r>
            <w:r w:rsidRPr="00612D10">
              <w:lastRenderedPageBreak/>
              <w:t>сопроводительные документы на материалы и изделия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Подрядные организации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Наличие декларации материалов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</w:t>
            </w:r>
            <w:r w:rsidR="00665CF3" w:rsidRPr="00612D10">
              <w:t xml:space="preserve"> </w:t>
            </w:r>
            <w:r w:rsidRPr="00612D10">
              <w:t>14, 24.2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Предоставление декларации либо сведений о декларации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29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Срок хранения декларации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Производитель, продавец материалов и изделий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30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Наличие сертификата на изделия и материалы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</w:t>
            </w:r>
            <w:r w:rsidR="00665CF3" w:rsidRPr="00612D10">
              <w:t>ность автомобильных дорог» п. 14</w:t>
            </w:r>
            <w:r w:rsidRPr="00612D10">
              <w:t>, 24.3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Предоставление сертификата либо сведений о сертификате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подрядных организаций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31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</w:t>
            </w:r>
            <w:r w:rsidR="00665CF3" w:rsidRPr="00612D10">
              <w:t xml:space="preserve"> </w:t>
            </w:r>
            <w:r w:rsidRPr="00612D10">
              <w:t>24, 24.2, 24.18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грузоотправителей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32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Сертификация изделий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24.12;</w:t>
            </w:r>
            <w:r w:rsidR="00665CF3" w:rsidRPr="00612D10">
              <w:t xml:space="preserve"> </w:t>
            </w:r>
            <w:r w:rsidRPr="00612D10">
              <w:t>Решение Коллегии Евразийской экономической комиссии от 25.12.2012</w:t>
            </w:r>
            <w:r w:rsidR="00612D10">
              <w:t xml:space="preserve"> г.</w:t>
            </w:r>
            <w:r w:rsidRPr="00612D10">
              <w:t xml:space="preserve"> № 293 </w:t>
            </w:r>
            <w:r w:rsidR="00612D10">
              <w:t xml:space="preserve"> </w:t>
            </w:r>
            <w:r w:rsidRPr="00612D10">
      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  <w:r w:rsidR="008340A1" w:rsidRPr="00612D10">
              <w:t xml:space="preserve"> (далее - Решение Коллегии Евразийской экономической комиссии от 25.12.2012 г. № 293)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Соответствие форм сертификатов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Органы по сертификации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Декларирование материалов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24.10;</w:t>
            </w:r>
            <w:r w:rsidR="00665CF3" w:rsidRPr="00612D10">
              <w:t xml:space="preserve"> </w:t>
            </w:r>
            <w:r w:rsidR="008340A1" w:rsidRPr="00612D10">
              <w:t>Решение Коллегии Евразийской экономической комиссии от 25.12.2012 г.  № 293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Соответствие форм деклараций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Производитель, продавец материалов и изделий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34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Маркировка изделий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Технический регламент Таможенного союза «Безопасность автомобильных дорог» п. 24.16;</w:t>
            </w:r>
            <w:r w:rsidR="008340A1" w:rsidRPr="00612D10">
              <w:t xml:space="preserve"> </w:t>
            </w:r>
            <w:r w:rsidRPr="00612D10">
              <w:t>Решение Комиссии Таможенного союза от 15.07.2011</w:t>
            </w:r>
            <w:r w:rsidR="008340A1" w:rsidRPr="00612D10">
              <w:t xml:space="preserve"> г. </w:t>
            </w:r>
            <w:r w:rsidRPr="00612D10">
              <w:t xml:space="preserve">№ 711 </w:t>
            </w:r>
            <w:r w:rsidR="00612D10">
              <w:t xml:space="preserve">   </w:t>
            </w:r>
            <w:r w:rsidRPr="00612D10">
              <w:t>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Производитель, продавец материалов и изделий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35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Выезды на дорогу общего пользования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Федеральный закон от </w:t>
            </w:r>
            <w:r w:rsidR="008340A1" w:rsidRPr="00612D10">
              <w:t xml:space="preserve">08.11.2007 </w:t>
            </w:r>
            <w:r w:rsidR="00612D10" w:rsidRPr="00612D10">
              <w:t xml:space="preserve">г. </w:t>
            </w:r>
            <w:r w:rsidR="008340A1" w:rsidRPr="00612D10">
              <w:t>№ 257-ФЗ ст. 20</w:t>
            </w:r>
            <w:r w:rsidRPr="00612D10">
              <w:t> 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автомобильных дорог и подрядных организаций</w:t>
            </w:r>
            <w:r w:rsidR="00612D10" w:rsidRPr="00612D10">
              <w:t xml:space="preserve"> </w:t>
            </w:r>
            <w:r w:rsidRPr="00612D10">
              <w:t> 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36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 xml:space="preserve">Федеральный закон от 08.11.2007 </w:t>
            </w:r>
            <w:r w:rsidR="008340A1" w:rsidRPr="00612D10">
              <w:t xml:space="preserve">г. </w:t>
            </w:r>
            <w:r w:rsidR="00612D10" w:rsidRPr="00612D10">
              <w:t>№ 257-ФЗ</w:t>
            </w:r>
            <w:r w:rsidRPr="00612D10">
              <w:t xml:space="preserve"> ст. 22 ч. 2;</w:t>
            </w:r>
          </w:p>
          <w:p w:rsidR="00017664" w:rsidRPr="00612D10" w:rsidRDefault="00017664" w:rsidP="00612D10">
            <w:pPr>
              <w:jc w:val="both"/>
            </w:pPr>
            <w:proofErr w:type="gramStart"/>
            <w:r w:rsidRPr="00612D10">
              <w:t xml:space="preserve">постановление Правительства Российской Федерации от 28.10.2020 </w:t>
            </w:r>
            <w:r w:rsidR="00F208AE" w:rsidRPr="00612D10">
              <w:t xml:space="preserve">г. </w:t>
            </w:r>
            <w:r w:rsidRPr="00612D10">
              <w:t xml:space="preserve">№ 1753 </w:t>
            </w:r>
            <w:r w:rsidR="00F208AE" w:rsidRPr="00612D10">
              <w:t>«</w:t>
            </w:r>
            <w:r w:rsidRPr="00612D10">
              <w:t xml:space="preserve"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</w:t>
            </w:r>
            <w:r w:rsidRPr="00612D10">
              <w:lastRenderedPageBreak/>
              <w:t>автомобильных дорог, а также требованиях к перечню минимально необходимых услуг, оказываемых на таких объектах дорожного сервиса</w:t>
            </w:r>
            <w:r w:rsidR="00F208AE" w:rsidRPr="00612D10"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Визуальное обследование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Для владельцев объектов дорожного сервиса</w:t>
            </w:r>
          </w:p>
        </w:tc>
      </w:tr>
      <w:tr w:rsidR="00017664" w:rsidRPr="00FF1F30" w:rsidTr="00612D10">
        <w:tc>
          <w:tcPr>
            <w:tcW w:w="43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 </w:t>
            </w:r>
          </w:p>
        </w:tc>
        <w:tc>
          <w:tcPr>
            <w:tcW w:w="240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2D10" w:rsidRDefault="00017664" w:rsidP="00612D10">
            <w:pPr>
              <w:jc w:val="both"/>
            </w:pPr>
            <w:r w:rsidRPr="00612D10">
              <w:t xml:space="preserve">Федеральный закон от 08.11.2007 </w:t>
            </w:r>
            <w:r w:rsidR="008340A1" w:rsidRPr="00612D10">
              <w:t xml:space="preserve">г. </w:t>
            </w:r>
            <w:r w:rsidRPr="00612D10">
              <w:t>№ 257-ФЗ ст. 22</w:t>
            </w:r>
            <w:r w:rsidR="00612D10" w:rsidRPr="00612D10">
              <w:t>,</w:t>
            </w:r>
            <w:r w:rsidRPr="00612D10">
              <w:t xml:space="preserve">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</w:t>
            </w:r>
          </w:p>
          <w:p w:rsidR="00017664" w:rsidRPr="00612D10" w:rsidRDefault="00017664" w:rsidP="00612D10">
            <w:pPr>
              <w:jc w:val="both"/>
            </w:pPr>
            <w:r w:rsidRPr="00612D10">
              <w:t>от 16.11.2012 г. № 402</w:t>
            </w:r>
          </w:p>
        </w:tc>
        <w:tc>
          <w:tcPr>
            <w:tcW w:w="85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8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 </w:t>
            </w:r>
          </w:p>
        </w:tc>
        <w:tc>
          <w:tcPr>
            <w:tcW w:w="170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Обследование автомобильной дороги</w:t>
            </w:r>
          </w:p>
        </w:tc>
        <w:tc>
          <w:tcPr>
            <w:tcW w:w="172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7664" w:rsidRPr="00612D10" w:rsidRDefault="00017664" w:rsidP="00612D10">
            <w:pPr>
              <w:jc w:val="both"/>
            </w:pPr>
            <w:r w:rsidRPr="00612D10">
              <w:t>Владелец объекта дорожного сервиса</w:t>
            </w:r>
          </w:p>
        </w:tc>
      </w:tr>
    </w:tbl>
    <w:p w:rsidR="00B72AAA" w:rsidRPr="00014049" w:rsidRDefault="00B72AAA" w:rsidP="00B72AAA">
      <w:pPr>
        <w:jc w:val="both"/>
        <w:rPr>
          <w:color w:val="000000"/>
          <w:sz w:val="28"/>
          <w:szCs w:val="28"/>
        </w:rPr>
      </w:pPr>
      <w:r w:rsidRPr="00014049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B72AAA" w:rsidRPr="00014049" w:rsidRDefault="00B72AAA" w:rsidP="00B72AAA">
      <w:pPr>
        <w:jc w:val="both"/>
        <w:rPr>
          <w:color w:val="000000"/>
          <w:sz w:val="28"/>
          <w:szCs w:val="28"/>
        </w:rPr>
      </w:pPr>
      <w:r w:rsidRPr="00014049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B72AAA" w:rsidRPr="00850667" w:rsidRDefault="00B72AAA" w:rsidP="00B72AAA">
      <w:pPr>
        <w:jc w:val="both"/>
        <w:rPr>
          <w:color w:val="000000"/>
        </w:rPr>
      </w:pPr>
      <w:r w:rsidRPr="00850667">
        <w:rPr>
          <w:color w:val="000000"/>
        </w:rPr>
        <w:t>(дополнения и пояснения к вопросам, содержащимся в перечне)</w:t>
      </w:r>
    </w:p>
    <w:p w:rsidR="00B72AAA" w:rsidRPr="00014049" w:rsidRDefault="00B72AAA" w:rsidP="00B72AAA">
      <w:pPr>
        <w:jc w:val="both"/>
        <w:rPr>
          <w:color w:val="000000"/>
          <w:sz w:val="28"/>
          <w:szCs w:val="28"/>
        </w:rPr>
      </w:pPr>
      <w:r w:rsidRPr="00014049">
        <w:rPr>
          <w:color w:val="000000"/>
          <w:sz w:val="28"/>
          <w:szCs w:val="28"/>
        </w:rPr>
        <w:t>Подпись лица, проводившего проверку</w:t>
      </w:r>
      <w:r>
        <w:rPr>
          <w:color w:val="000000"/>
          <w:sz w:val="28"/>
          <w:szCs w:val="28"/>
        </w:rPr>
        <w:t>:</w:t>
      </w:r>
      <w:r w:rsidRPr="00014049"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</w:t>
      </w:r>
    </w:p>
    <w:p w:rsidR="00B72AAA" w:rsidRDefault="00B72AAA" w:rsidP="00B72AAA">
      <w:pPr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________________________________________________________________________________(должность лица, заполнившего проверочный лист)                                                                ________________________________________________________________________________</w:t>
      </w:r>
      <w:r w:rsidRPr="00850667">
        <w:rPr>
          <w:color w:val="000000"/>
        </w:rPr>
        <w:t>(</w:t>
      </w:r>
      <w:r>
        <w:rPr>
          <w:color w:val="000000"/>
        </w:rPr>
        <w:t>подпись)      (фамилия, имя, отечество (при наличии) лица, заполнившего проверочный лист)</w:t>
      </w:r>
      <w:proofErr w:type="gramEnd"/>
    </w:p>
    <w:p w:rsidR="00B72AAA" w:rsidRPr="00850667" w:rsidRDefault="00B72AAA" w:rsidP="00B72AAA">
      <w:pPr>
        <w:jc w:val="both"/>
        <w:rPr>
          <w:color w:val="000000"/>
        </w:rPr>
      </w:pPr>
      <w:r w:rsidRPr="00850667">
        <w:rPr>
          <w:color w:val="000000"/>
        </w:rPr>
        <w:t xml:space="preserve">                                        </w:t>
      </w:r>
    </w:p>
    <w:p w:rsidR="00B72AAA" w:rsidRPr="00014049" w:rsidRDefault="00B72AAA" w:rsidP="00B72AAA">
      <w:pPr>
        <w:jc w:val="both"/>
        <w:rPr>
          <w:color w:val="000000"/>
          <w:sz w:val="28"/>
          <w:szCs w:val="28"/>
        </w:rPr>
      </w:pPr>
      <w:r w:rsidRPr="00014049">
        <w:rPr>
          <w:color w:val="000000"/>
          <w:sz w:val="28"/>
          <w:szCs w:val="28"/>
        </w:rPr>
        <w:t>Подпись юридического лица, индивидуального предпринимателя</w:t>
      </w:r>
      <w:r>
        <w:rPr>
          <w:color w:val="000000"/>
          <w:sz w:val="28"/>
          <w:szCs w:val="28"/>
        </w:rPr>
        <w:t>, гражданина:</w:t>
      </w:r>
    </w:p>
    <w:p w:rsidR="00B72AAA" w:rsidRPr="00850667" w:rsidRDefault="00B72AAA" w:rsidP="00B72AAA">
      <w:pPr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________________________________________________________________________________(должность контролируемого лица)                                                                ________________________________________________________________________________</w:t>
      </w:r>
      <w:r w:rsidRPr="00850667">
        <w:rPr>
          <w:color w:val="000000"/>
        </w:rPr>
        <w:t>(</w:t>
      </w:r>
      <w:r>
        <w:rPr>
          <w:color w:val="000000"/>
        </w:rPr>
        <w:t>подпись)               (фамилия, имя, отечество (при наличии) контролируемого лица</w:t>
      </w:r>
      <w:r w:rsidRPr="00850667">
        <w:rPr>
          <w:color w:val="000000"/>
        </w:rPr>
        <w:t xml:space="preserve">)                                         </w:t>
      </w:r>
      <w:proofErr w:type="gramEnd"/>
    </w:p>
    <w:p w:rsidR="00B72AAA" w:rsidRDefault="00B72AAA" w:rsidP="00B72A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2AAA" w:rsidRDefault="00B72AAA" w:rsidP="00B72A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2AAA" w:rsidRDefault="00B72AAA" w:rsidP="00B72A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2AAA" w:rsidRPr="00C03AF9" w:rsidRDefault="00B72AAA" w:rsidP="00B72A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3AF9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C03AF9">
        <w:rPr>
          <w:sz w:val="28"/>
          <w:szCs w:val="28"/>
        </w:rPr>
        <w:t xml:space="preserve"> главы </w:t>
      </w:r>
      <w:proofErr w:type="gramStart"/>
      <w:r w:rsidRPr="00C03AF9">
        <w:rPr>
          <w:sz w:val="28"/>
          <w:szCs w:val="28"/>
        </w:rPr>
        <w:t>муниципального</w:t>
      </w:r>
      <w:proofErr w:type="gramEnd"/>
      <w:r w:rsidRPr="00C03AF9">
        <w:rPr>
          <w:sz w:val="28"/>
          <w:szCs w:val="28"/>
        </w:rPr>
        <w:t xml:space="preserve"> </w:t>
      </w:r>
    </w:p>
    <w:p w:rsidR="00B72AAA" w:rsidRPr="00C03AF9" w:rsidRDefault="00B72AAA" w:rsidP="00B72A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3AF9">
        <w:rPr>
          <w:sz w:val="28"/>
          <w:szCs w:val="28"/>
        </w:rPr>
        <w:t>образования Гулькевичский район,</w:t>
      </w:r>
    </w:p>
    <w:p w:rsidR="00B72AAA" w:rsidRPr="00C03AF9" w:rsidRDefault="00B72AAA" w:rsidP="00B72AAA">
      <w:pPr>
        <w:rPr>
          <w:sz w:val="28"/>
          <w:szCs w:val="28"/>
        </w:rPr>
      </w:pPr>
      <w:r w:rsidRPr="00C03AF9">
        <w:rPr>
          <w:sz w:val="28"/>
          <w:szCs w:val="28"/>
        </w:rPr>
        <w:t xml:space="preserve">начальник управления </w:t>
      </w:r>
    </w:p>
    <w:p w:rsidR="00B72AAA" w:rsidRDefault="00B72AAA" w:rsidP="00B72AAA">
      <w:pPr>
        <w:rPr>
          <w:sz w:val="28"/>
          <w:szCs w:val="28"/>
        </w:rPr>
      </w:pPr>
      <w:r w:rsidRPr="00C03AF9">
        <w:rPr>
          <w:sz w:val="28"/>
          <w:szCs w:val="28"/>
        </w:rPr>
        <w:t xml:space="preserve">жилищно-коммунального хозяйства </w:t>
      </w:r>
    </w:p>
    <w:p w:rsidR="00B72AAA" w:rsidRDefault="00B72AAA" w:rsidP="00B72AAA">
      <w:pPr>
        <w:rPr>
          <w:sz w:val="28"/>
          <w:szCs w:val="28"/>
        </w:rPr>
      </w:pPr>
      <w:r w:rsidRPr="00C03AF9">
        <w:rPr>
          <w:sz w:val="28"/>
          <w:szCs w:val="28"/>
        </w:rPr>
        <w:t>и транспорта</w:t>
      </w:r>
      <w:r w:rsidRPr="00C03AF9">
        <w:rPr>
          <w:sz w:val="28"/>
          <w:szCs w:val="28"/>
        </w:rPr>
        <w:tab/>
      </w:r>
      <w:r w:rsidRPr="00C03A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C03AF9">
        <w:rPr>
          <w:sz w:val="28"/>
          <w:szCs w:val="28"/>
        </w:rPr>
        <w:t xml:space="preserve">          Е.Г. Салмина</w:t>
      </w:r>
    </w:p>
    <w:p w:rsidR="00017664" w:rsidRDefault="00017664" w:rsidP="00282A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017664" w:rsidRDefault="00017664" w:rsidP="00282A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017664" w:rsidRDefault="00017664" w:rsidP="00282A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sectPr w:rsidR="00017664" w:rsidSect="007538BA">
      <w:pgSz w:w="11905" w:h="16838"/>
      <w:pgMar w:top="709" w:right="567" w:bottom="68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72"/>
    <w:multiLevelType w:val="multilevel"/>
    <w:tmpl w:val="F372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63239"/>
    <w:multiLevelType w:val="multilevel"/>
    <w:tmpl w:val="C5D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2170F"/>
    <w:multiLevelType w:val="multilevel"/>
    <w:tmpl w:val="9B98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745A9"/>
    <w:multiLevelType w:val="multilevel"/>
    <w:tmpl w:val="325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717F5"/>
    <w:multiLevelType w:val="multilevel"/>
    <w:tmpl w:val="93C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62E33"/>
    <w:multiLevelType w:val="hybridMultilevel"/>
    <w:tmpl w:val="1DB28626"/>
    <w:lvl w:ilvl="0" w:tplc="E162ED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66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5A43"/>
    <w:rsid w:val="00057590"/>
    <w:rsid w:val="0005774C"/>
    <w:rsid w:val="000577B1"/>
    <w:rsid w:val="0005785C"/>
    <w:rsid w:val="00057C75"/>
    <w:rsid w:val="00057ECF"/>
    <w:rsid w:val="0006175B"/>
    <w:rsid w:val="00061B39"/>
    <w:rsid w:val="000634BD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B96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456"/>
    <w:rsid w:val="001726A1"/>
    <w:rsid w:val="0017514F"/>
    <w:rsid w:val="00177A36"/>
    <w:rsid w:val="00177EED"/>
    <w:rsid w:val="001833B4"/>
    <w:rsid w:val="00183CF4"/>
    <w:rsid w:val="00184EB3"/>
    <w:rsid w:val="00185F29"/>
    <w:rsid w:val="001866CD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3911"/>
    <w:rsid w:val="00207A37"/>
    <w:rsid w:val="00212E27"/>
    <w:rsid w:val="00212FC2"/>
    <w:rsid w:val="0021327E"/>
    <w:rsid w:val="0021692F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161"/>
    <w:rsid w:val="0024591B"/>
    <w:rsid w:val="002459FB"/>
    <w:rsid w:val="00246657"/>
    <w:rsid w:val="002467BB"/>
    <w:rsid w:val="00250467"/>
    <w:rsid w:val="00251AA7"/>
    <w:rsid w:val="00251CD2"/>
    <w:rsid w:val="00255BF3"/>
    <w:rsid w:val="00256156"/>
    <w:rsid w:val="0026082F"/>
    <w:rsid w:val="0026086B"/>
    <w:rsid w:val="002610D2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A03"/>
    <w:rsid w:val="00282D0C"/>
    <w:rsid w:val="00282F00"/>
    <w:rsid w:val="0028501F"/>
    <w:rsid w:val="00287108"/>
    <w:rsid w:val="00290C2F"/>
    <w:rsid w:val="00292F76"/>
    <w:rsid w:val="002941A8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0667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5DA8"/>
    <w:rsid w:val="003073E7"/>
    <w:rsid w:val="00314907"/>
    <w:rsid w:val="00314C02"/>
    <w:rsid w:val="00315AD3"/>
    <w:rsid w:val="0031774E"/>
    <w:rsid w:val="00317A39"/>
    <w:rsid w:val="00321498"/>
    <w:rsid w:val="00321AD6"/>
    <w:rsid w:val="0033038F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46D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1BEC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12C6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65F1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39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C3"/>
    <w:rsid w:val="004B42E2"/>
    <w:rsid w:val="004B4412"/>
    <w:rsid w:val="004B5169"/>
    <w:rsid w:val="004B593E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0FDC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D10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5920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13A1"/>
    <w:rsid w:val="0066287C"/>
    <w:rsid w:val="00663B12"/>
    <w:rsid w:val="00664F1B"/>
    <w:rsid w:val="00665CF3"/>
    <w:rsid w:val="00672507"/>
    <w:rsid w:val="006740ED"/>
    <w:rsid w:val="00675600"/>
    <w:rsid w:val="0067597F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8C7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17D6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8BA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44A6"/>
    <w:rsid w:val="007C5A76"/>
    <w:rsid w:val="007C7739"/>
    <w:rsid w:val="007D43AE"/>
    <w:rsid w:val="007D5A04"/>
    <w:rsid w:val="007D5D5D"/>
    <w:rsid w:val="007D6713"/>
    <w:rsid w:val="007E1458"/>
    <w:rsid w:val="007E23A1"/>
    <w:rsid w:val="007E256B"/>
    <w:rsid w:val="007E5DAA"/>
    <w:rsid w:val="007E769A"/>
    <w:rsid w:val="007E77E9"/>
    <w:rsid w:val="007F24A4"/>
    <w:rsid w:val="007F3E88"/>
    <w:rsid w:val="007F4034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0A1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3CA3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75AA2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4B01"/>
    <w:rsid w:val="008B6371"/>
    <w:rsid w:val="008B77EB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48B9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49E3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48B4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05E8"/>
    <w:rsid w:val="00A33208"/>
    <w:rsid w:val="00A3488F"/>
    <w:rsid w:val="00A3521E"/>
    <w:rsid w:val="00A368FF"/>
    <w:rsid w:val="00A36CB5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4452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3658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5AC3"/>
    <w:rsid w:val="00B17793"/>
    <w:rsid w:val="00B179CA"/>
    <w:rsid w:val="00B204F2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3E58"/>
    <w:rsid w:val="00B55FD3"/>
    <w:rsid w:val="00B6011F"/>
    <w:rsid w:val="00B6020A"/>
    <w:rsid w:val="00B60F24"/>
    <w:rsid w:val="00B61747"/>
    <w:rsid w:val="00B62D8C"/>
    <w:rsid w:val="00B6397D"/>
    <w:rsid w:val="00B64714"/>
    <w:rsid w:val="00B64CBD"/>
    <w:rsid w:val="00B66515"/>
    <w:rsid w:val="00B6675C"/>
    <w:rsid w:val="00B66F9C"/>
    <w:rsid w:val="00B67495"/>
    <w:rsid w:val="00B67B70"/>
    <w:rsid w:val="00B7002F"/>
    <w:rsid w:val="00B7256B"/>
    <w:rsid w:val="00B72A7E"/>
    <w:rsid w:val="00B72AAA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1A6A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3F28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5E39"/>
    <w:rsid w:val="00BD631F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16A"/>
    <w:rsid w:val="00C31957"/>
    <w:rsid w:val="00C334ED"/>
    <w:rsid w:val="00C3568D"/>
    <w:rsid w:val="00C3724B"/>
    <w:rsid w:val="00C40CE0"/>
    <w:rsid w:val="00C41835"/>
    <w:rsid w:val="00C43D1D"/>
    <w:rsid w:val="00C45378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5611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5DBA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1FE7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3A85"/>
    <w:rsid w:val="00DC3F4E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678DC"/>
    <w:rsid w:val="00E67AD0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2EB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8AE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4759E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2AD1"/>
    <w:rsid w:val="00F94C93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table" w:styleId="a5">
    <w:name w:val="Table Grid"/>
    <w:basedOn w:val="a1"/>
    <w:uiPriority w:val="59"/>
    <w:rsid w:val="003D1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D65DBA"/>
    <w:rPr>
      <w:color w:val="106BBE"/>
    </w:rPr>
  </w:style>
  <w:style w:type="paragraph" w:customStyle="1" w:styleId="Default">
    <w:name w:val="Default"/>
    <w:rsid w:val="008B4B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nhideWhenUsed/>
    <w:rsid w:val="000634BD"/>
    <w:pPr>
      <w:spacing w:before="100" w:beforeAutospacing="1" w:after="100" w:afterAutospacing="1"/>
    </w:pPr>
  </w:style>
  <w:style w:type="paragraph" w:customStyle="1" w:styleId="Heading">
    <w:name w:val="Heading"/>
    <w:rsid w:val="000634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58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C02E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b">
    <w:name w:val="List Paragraph"/>
    <w:basedOn w:val="a"/>
    <w:link w:val="ac"/>
    <w:qFormat/>
    <w:rsid w:val="00EC0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locked/>
    <w:rsid w:val="00EC02EB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EC02E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456F-6CB6-48E5-BFE0-E17E40E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Radev</cp:lastModifiedBy>
  <cp:revision>5</cp:revision>
  <cp:lastPrinted>2022-03-04T10:19:00Z</cp:lastPrinted>
  <dcterms:created xsi:type="dcterms:W3CDTF">2022-03-03T13:09:00Z</dcterms:created>
  <dcterms:modified xsi:type="dcterms:W3CDTF">2022-03-04T10:19:00Z</dcterms:modified>
</cp:coreProperties>
</file>