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72" w:rsidRPr="00816172" w:rsidRDefault="00816172" w:rsidP="00816172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816172">
        <w:rPr>
          <w:rStyle w:val="s10"/>
          <w:b/>
          <w:bCs/>
          <w:color w:val="22272F"/>
          <w:sz w:val="28"/>
          <w:szCs w:val="28"/>
        </w:rPr>
        <w:t>Статья 43.</w:t>
      </w:r>
      <w:r w:rsidRPr="00816172">
        <w:rPr>
          <w:b/>
          <w:bCs/>
          <w:color w:val="22272F"/>
          <w:sz w:val="28"/>
          <w:szCs w:val="28"/>
        </w:rPr>
        <w:t> Проект межевания территории</w:t>
      </w:r>
    </w:p>
    <w:p w:rsidR="00816172" w:rsidRPr="00816172" w:rsidRDefault="00816172" w:rsidP="00816172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См. </w:t>
      </w:r>
      <w:hyperlink r:id="rId4" w:anchor="/document/57591214/entry/0" w:history="1">
        <w:r w:rsidRPr="00816172">
          <w:rPr>
            <w:rStyle w:val="a3"/>
            <w:color w:val="3272C0"/>
            <w:sz w:val="28"/>
            <w:szCs w:val="28"/>
            <w:u w:val="none"/>
          </w:rPr>
          <w:t>Энциклопедии</w:t>
        </w:r>
      </w:hyperlink>
      <w:r w:rsidRPr="00816172">
        <w:rPr>
          <w:color w:val="464C55"/>
          <w:sz w:val="28"/>
          <w:szCs w:val="28"/>
        </w:rPr>
        <w:t>, </w:t>
      </w:r>
      <w:hyperlink r:id="rId5" w:anchor="/document/77530863/entry/0" w:history="1">
        <w:r w:rsidRPr="00816172">
          <w:rPr>
            <w:rStyle w:val="a3"/>
            <w:color w:val="3272C0"/>
            <w:sz w:val="28"/>
            <w:szCs w:val="28"/>
            <w:u w:val="none"/>
          </w:rPr>
          <w:t>позиции высших судов</w:t>
        </w:r>
      </w:hyperlink>
      <w:r w:rsidRPr="00816172">
        <w:rPr>
          <w:color w:val="464C55"/>
          <w:sz w:val="28"/>
          <w:szCs w:val="28"/>
        </w:rPr>
        <w:t> и другие </w:t>
      </w:r>
      <w:hyperlink r:id="rId6" w:anchor="/multilink/12138258/paragraph/1118491445/number/2" w:history="1">
        <w:r w:rsidRPr="00816172">
          <w:rPr>
            <w:rStyle w:val="a3"/>
            <w:color w:val="3272C0"/>
            <w:sz w:val="28"/>
            <w:szCs w:val="28"/>
            <w:u w:val="none"/>
          </w:rPr>
          <w:t>комментарии</w:t>
        </w:r>
      </w:hyperlink>
      <w:r w:rsidRPr="00816172">
        <w:rPr>
          <w:color w:val="464C55"/>
          <w:sz w:val="28"/>
          <w:szCs w:val="28"/>
        </w:rPr>
        <w:t> к статье 43 Градостроительного кодекса РФ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Часть 1 изменена с 30 декабря 2020 г. - </w:t>
      </w:r>
      <w:hyperlink r:id="rId7" w:anchor="/document/400157502/entry/1151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30 декабря 2020 г. N 494-ФЗ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8" w:anchor="/document/77701119/entry/4301" w:history="1">
        <w:r w:rsidRPr="0081617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 xml:space="preserve">1. </w:t>
      </w:r>
      <w:proofErr w:type="gramStart"/>
      <w:r w:rsidRPr="00816172">
        <w:rPr>
          <w:color w:val="22272F"/>
          <w:sz w:val="28"/>
          <w:szCs w:val="28"/>
        </w:rPr>
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proofErr w:type="gramEnd"/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 xml:space="preserve">2. Подготовка проекта межевания территории осуществляется </w:t>
      </w:r>
      <w:proofErr w:type="gramStart"/>
      <w:r w:rsidRPr="00816172">
        <w:rPr>
          <w:color w:val="22272F"/>
          <w:sz w:val="28"/>
          <w:szCs w:val="28"/>
        </w:rPr>
        <w:t>для</w:t>
      </w:r>
      <w:proofErr w:type="gramEnd"/>
      <w:r w:rsidRPr="00816172">
        <w:rPr>
          <w:color w:val="22272F"/>
          <w:sz w:val="28"/>
          <w:szCs w:val="28"/>
        </w:rPr>
        <w:t>: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Пункт 2 изменен с 30 декабря 2020 г. - </w:t>
      </w:r>
      <w:hyperlink r:id="rId9" w:anchor="/document/400157502/entry/1152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30 декабря 2020 г. N 494-ФЗ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0" w:anchor="/document/77701119/entry/4322" w:history="1">
        <w:r w:rsidRPr="0081617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816172">
        <w:rPr>
          <w:color w:val="22272F"/>
          <w:sz w:val="28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</w:t>
      </w:r>
      <w:proofErr w:type="gramEnd"/>
      <w:r w:rsidRPr="00816172">
        <w:rPr>
          <w:color w:val="22272F"/>
          <w:sz w:val="28"/>
          <w:szCs w:val="28"/>
        </w:rPr>
        <w:t xml:space="preserve"> изменение границ территории общего пользования.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5. Текстовая часть проекта межевания территории включает в себя: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816172">
        <w:rPr>
          <w:color w:val="22272F"/>
          <w:sz w:val="28"/>
          <w:szCs w:val="28"/>
        </w:rPr>
        <w:t>1) перечень и сведения о площади образуемых земельных участков, в том числе возможные способы их образования;</w:t>
      </w:r>
      <w:proofErr w:type="gramEnd"/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lastRenderedPageBreak/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Часть 5 дополнена пунктом 4 с 1 сентября 2018 г. - </w:t>
      </w:r>
      <w:hyperlink r:id="rId11" w:anchor="/document/72005510/entry/101401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 августа 2018 г. N 342-ФЗ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Часть 5 дополнена пунктом 5 с 1 сентября 2018 г. - </w:t>
      </w:r>
      <w:hyperlink r:id="rId12" w:anchor="/document/72005510/entry/101401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 августа 2018 г. N 342-ФЗ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6. На чертежах межевания территории отображаются: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</w:r>
      <w:hyperlink r:id="rId13" w:anchor="/document/12138258/entry/4322" w:history="1">
        <w:r w:rsidRPr="00816172">
          <w:rPr>
            <w:rStyle w:val="a3"/>
            <w:color w:val="3272C0"/>
            <w:sz w:val="28"/>
            <w:szCs w:val="28"/>
            <w:u w:val="none"/>
          </w:rPr>
          <w:t>пунктом 2 части 2</w:t>
        </w:r>
      </w:hyperlink>
      <w:r w:rsidRPr="00816172">
        <w:rPr>
          <w:color w:val="22272F"/>
          <w:sz w:val="28"/>
          <w:szCs w:val="28"/>
        </w:rPr>
        <w:t> настоящей статьи;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lastRenderedPageBreak/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Пункт 5 изменен с 1 сентября 2018 г. - </w:t>
      </w:r>
      <w:hyperlink r:id="rId14" w:anchor="/document/72005498/entry/62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 августа 2018 г. N 341-ФЗ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5" w:anchor="/document/77664911/entry/4365" w:history="1">
        <w:r w:rsidRPr="0081617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5) границы публичных сервитутов.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Статья 43 дополнена частью 6.1 с 1 сентября 2018 г. - </w:t>
      </w:r>
      <w:hyperlink r:id="rId16" w:anchor="/document/72005510/entry/101402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 августа 2018 г. N 342-ФЗ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1) границы существующих земельных участков;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2) границы зон с особыми условиями использования территорий;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3) местоположение существующих объектов капитального строительства;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4) границы особо охраняемых природных территорий;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5) границы территорий объектов культурного наследия;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Пункт 6 изменен с 1 июля 2019 г. - </w:t>
      </w:r>
      <w:hyperlink r:id="rId17" w:anchor="/document/72139610/entry/304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27 декабря 2018 г. N 538-ФЗ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8" w:anchor="/document/12138258/entry/4376" w:history="1">
        <w:r w:rsidRPr="0081617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6)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 xml:space="preserve"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Кодексом. В целях подготовки проекта межевания территории допускается использование материалов и результатов инженерных изысканий, полученных для </w:t>
      </w:r>
      <w:r w:rsidRPr="00816172">
        <w:rPr>
          <w:color w:val="22272F"/>
          <w:sz w:val="28"/>
          <w:szCs w:val="28"/>
        </w:rPr>
        <w:lastRenderedPageBreak/>
        <w:t>подготовки проекта планировки данной территории, в течение не более чем пяти лет со дня их выполнения.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9.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 </w:t>
      </w:r>
      <w:hyperlink r:id="rId19" w:anchor="/document/2109625/entry/0" w:history="1">
        <w:r w:rsidRPr="00816172">
          <w:rPr>
            <w:rStyle w:val="a3"/>
            <w:color w:val="3272C0"/>
            <w:sz w:val="28"/>
            <w:szCs w:val="28"/>
            <w:u w:val="none"/>
          </w:rPr>
          <w:t>нормами</w:t>
        </w:r>
      </w:hyperlink>
      <w:r w:rsidRPr="00816172">
        <w:rPr>
          <w:color w:val="22272F"/>
          <w:sz w:val="28"/>
          <w:szCs w:val="28"/>
        </w:rPr>
        <w:t> 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10. В случае</w:t>
      </w:r>
      <w:proofErr w:type="gramStart"/>
      <w:r w:rsidRPr="00816172">
        <w:rPr>
          <w:color w:val="22272F"/>
          <w:sz w:val="28"/>
          <w:szCs w:val="28"/>
        </w:rPr>
        <w:t>,</w:t>
      </w:r>
      <w:proofErr w:type="gramEnd"/>
      <w:r w:rsidRPr="00816172">
        <w:rPr>
          <w:color w:val="22272F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 </w:t>
      </w:r>
      <w:hyperlink r:id="rId20" w:anchor="/document/12127232/entry/2" w:history="1">
        <w:r w:rsidRPr="00816172">
          <w:rPr>
            <w:rStyle w:val="a3"/>
            <w:color w:val="3272C0"/>
            <w:sz w:val="28"/>
            <w:szCs w:val="28"/>
            <w:u w:val="none"/>
          </w:rPr>
          <w:t>законодательством</w:t>
        </w:r>
      </w:hyperlink>
      <w:r w:rsidRPr="00816172">
        <w:rPr>
          <w:color w:val="22272F"/>
          <w:sz w:val="28"/>
          <w:szCs w:val="28"/>
        </w:rPr>
        <w:t> об охране объектов культурного наследия (памятников истории и культуры) народов Российской Федерации.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816172">
        <w:rPr>
          <w:color w:val="464C55"/>
          <w:sz w:val="28"/>
          <w:szCs w:val="28"/>
        </w:rPr>
        <w:t>Часть 12 изменена с 30 декабря 2020 г. - </w:t>
      </w:r>
      <w:hyperlink r:id="rId21" w:anchor="/document/400157502/entry/1153" w:history="1">
        <w:r w:rsidRPr="00816172">
          <w:rPr>
            <w:rStyle w:val="a3"/>
            <w:color w:val="3272C0"/>
            <w:sz w:val="28"/>
            <w:szCs w:val="28"/>
            <w:u w:val="none"/>
          </w:rPr>
          <w:t>Федеральный закон</w:t>
        </w:r>
      </w:hyperlink>
      <w:r w:rsidRPr="00816172">
        <w:rPr>
          <w:color w:val="464C55"/>
          <w:sz w:val="28"/>
          <w:szCs w:val="28"/>
        </w:rPr>
        <w:t> от 30 декабря 2020 г. N 494-ФЗ</w:t>
      </w:r>
    </w:p>
    <w:p w:rsidR="00816172" w:rsidRPr="00816172" w:rsidRDefault="00816172" w:rsidP="00816172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2" w:anchor="/document/77701119/entry/43012" w:history="1">
        <w:r w:rsidRPr="00816172">
          <w:rPr>
            <w:rStyle w:val="a3"/>
            <w:color w:val="3272C0"/>
            <w:sz w:val="28"/>
            <w:szCs w:val="28"/>
            <w:u w:val="none"/>
          </w:rPr>
          <w:t>См. предыдущую редакцию</w:t>
        </w:r>
      </w:hyperlink>
    </w:p>
    <w:p w:rsidR="00816172" w:rsidRPr="00816172" w:rsidRDefault="00816172" w:rsidP="0081617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816172">
        <w:rPr>
          <w:color w:val="22272F"/>
          <w:sz w:val="28"/>
          <w:szCs w:val="28"/>
        </w:rPr>
        <w:t xml:space="preserve">12. </w:t>
      </w:r>
      <w:proofErr w:type="gramStart"/>
      <w:r w:rsidRPr="00816172">
        <w:rPr>
          <w:color w:val="22272F"/>
          <w:sz w:val="28"/>
          <w:szCs w:val="28"/>
        </w:rPr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</w:t>
      </w:r>
      <w:proofErr w:type="gramEnd"/>
      <w:r w:rsidRPr="00816172">
        <w:rPr>
          <w:color w:val="22272F"/>
          <w:sz w:val="28"/>
          <w:szCs w:val="28"/>
        </w:rPr>
        <w:t xml:space="preserve">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000000" w:rsidRPr="00816172" w:rsidRDefault="00816172">
      <w:pPr>
        <w:rPr>
          <w:sz w:val="28"/>
          <w:szCs w:val="28"/>
        </w:rPr>
      </w:pPr>
    </w:p>
    <w:sectPr w:rsidR="00000000" w:rsidRPr="0081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172"/>
    <w:rsid w:val="0081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16172"/>
  </w:style>
  <w:style w:type="paragraph" w:customStyle="1" w:styleId="s9">
    <w:name w:val="s_9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16172"/>
    <w:rPr>
      <w:color w:val="0000FF"/>
      <w:u w:val="single"/>
    </w:rPr>
  </w:style>
  <w:style w:type="paragraph" w:customStyle="1" w:styleId="s22">
    <w:name w:val="s_22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1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6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0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508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54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48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18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6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323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Martynenko</dc:creator>
  <cp:keywords/>
  <dc:description/>
  <cp:lastModifiedBy>Martynenko</cp:lastModifiedBy>
  <cp:revision>2</cp:revision>
  <dcterms:created xsi:type="dcterms:W3CDTF">2022-01-24T11:58:00Z</dcterms:created>
  <dcterms:modified xsi:type="dcterms:W3CDTF">2022-01-24T11:59:00Z</dcterms:modified>
</cp:coreProperties>
</file>