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0CC" w:rsidRPr="00582D1B" w:rsidRDefault="007060CC" w:rsidP="00FE40D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Заключение об оценке регулирующего воздействия</w:t>
      </w:r>
      <w:r w:rsid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проекта административного регламента предоставления муниципальной услуги</w:t>
      </w:r>
      <w:r w:rsidR="00FE40DA"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«Перевод жилого помещения в нежилое помещение и нежилого помещения в жилое помещение»</w:t>
      </w:r>
    </w:p>
    <w:p w:rsidR="00582D1B" w:rsidRPr="007060CC" w:rsidRDefault="00582D1B" w:rsidP="00BE777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607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BA607D" w:rsidRPr="00BA607D">
        <w:rPr>
          <w:rFonts w:ascii="Times New Roman" w:eastAsia="Times New Roman" w:hAnsi="Times New Roman" w:cs="Times New Roman"/>
          <w:sz w:val="28"/>
          <w:szCs w:val="28"/>
        </w:rPr>
        <w:t>21</w:t>
      </w:r>
      <w:r w:rsidRPr="00BA607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BA607D" w:rsidRPr="00BA607D">
        <w:rPr>
          <w:rFonts w:ascii="Times New Roman" w:eastAsia="Times New Roman" w:hAnsi="Times New Roman" w:cs="Times New Roman"/>
          <w:sz w:val="28"/>
          <w:szCs w:val="28"/>
        </w:rPr>
        <w:t>окт</w:t>
      </w:r>
      <w:r w:rsidRPr="00BA607D">
        <w:rPr>
          <w:rFonts w:ascii="Times New Roman" w:eastAsia="Times New Roman" w:hAnsi="Times New Roman" w:cs="Times New Roman"/>
          <w:sz w:val="28"/>
          <w:szCs w:val="28"/>
        </w:rPr>
        <w:t xml:space="preserve">ября 2026 г.                  </w:t>
      </w:r>
      <w:r w:rsidR="00BE777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BA607D">
        <w:rPr>
          <w:rFonts w:ascii="Times New Roman" w:eastAsia="Times New Roman" w:hAnsi="Times New Roman" w:cs="Times New Roman"/>
          <w:sz w:val="28"/>
          <w:szCs w:val="28"/>
        </w:rPr>
        <w:t xml:space="preserve">      № </w:t>
      </w:r>
      <w:r w:rsidR="00BA607D" w:rsidRPr="00BA607D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BA607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г. Гулькевичи</w:t>
      </w:r>
    </w:p>
    <w:p w:rsidR="007060CC" w:rsidRPr="007060CC" w:rsidRDefault="007060CC" w:rsidP="00FE40D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Управление экономики и потребительской сферы администрации муниципального образования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район, как уполномоченный орган по проведению оценки регулирующего воздействия проектов муниципальных правовых актов муниципального образования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район, рассмотрело поступивший </w:t>
      </w:r>
      <w:r w:rsidR="008B270A" w:rsidRPr="00582D1B">
        <w:rPr>
          <w:rFonts w:ascii="Times New Roman" w:eastAsia="Times New Roman" w:hAnsi="Times New Roman" w:cs="Times New Roman"/>
          <w:sz w:val="28"/>
          <w:szCs w:val="28"/>
        </w:rPr>
        <w:t>8 октября 2026 года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проект административного регламента «Перевод жилого помещения в нежилое помещение и нежилого помещения в жилое помещение», направленный отделом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топливно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энергетического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комплекса и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жилищно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коммунального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хозяйства управления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топливно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энергетического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комплекса,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жилищно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коммунального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хозяйства и</w:t>
      </w:r>
      <w:proofErr w:type="gram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транспорта (далее — разработчик), и сообщает следующее.</w:t>
      </w:r>
    </w:p>
    <w:p w:rsidR="007060CC" w:rsidRPr="007060CC" w:rsidRDefault="007060CC" w:rsidP="00FE40D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Порядком проведения </w:t>
      </w:r>
      <w:proofErr w:type="gramStart"/>
      <w:r w:rsidRPr="007060CC">
        <w:rPr>
          <w:rFonts w:ascii="Times New Roman" w:eastAsia="Times New Roman" w:hAnsi="Times New Roman" w:cs="Times New Roman"/>
          <w:sz w:val="28"/>
          <w:szCs w:val="28"/>
        </w:rPr>
        <w:t>оценки регулирующего воздействия проектов муниципальных правовых актов муниципального образования</w:t>
      </w:r>
      <w:proofErr w:type="gram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 (далее — Порядок) проект подлежит проведению оценки регулирующего воздействия. По результатам рассмотрения установлено, что при подготовке проекта требования Порядка разработчиком соблюдены.</w:t>
      </w:r>
    </w:p>
    <w:p w:rsidR="007060CC" w:rsidRPr="007060CC" w:rsidRDefault="007060CC" w:rsidP="00582D1B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Проект направлен разработчиком для проведения оценки регулирующего воздействия впервые. Предшествующих заключений об оценке регулирующего воздействия по данному проекту не имеется.</w:t>
      </w:r>
    </w:p>
    <w:p w:rsidR="007060CC" w:rsidRPr="007060CC" w:rsidRDefault="007060CC" w:rsidP="00FE40D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Проведён анализ результатов исследований, проведённых регулирующим органом, с учётом полноты рассмотрения всех возможных вариантов правового регулирования выявленной проблемы, а также эффективности способов решения проблемы в сравнении с действующим правовым регулированием. Оценка эффективности предложенных вариантов правового регулирования, основанная на сведениях из сводного отчёта, показала следующее:</w:t>
      </w:r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Точность формулировки выявленной проблемы.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060CC">
        <w:rPr>
          <w:rFonts w:ascii="Times New Roman" w:eastAsia="Times New Roman" w:hAnsi="Times New Roman" w:cs="Times New Roman"/>
          <w:sz w:val="28"/>
          <w:szCs w:val="28"/>
        </w:rPr>
        <w:t>Проблема сформулирована корректно: необходимость упорядочения и повышения прозрачности процедуры перевода жилых помещений в нежилые и нежилых в жилые, стандартизации сроков, административных процедур и оснований для отказа, а также обеспечения доступности услуги для заявителей.</w:t>
      </w:r>
      <w:proofErr w:type="gramEnd"/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Обоснованность определения потенциальных адресатов регулирования.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К потенциальным адресатам отнесены физические и юридические лица — собственники помещений на территории сельских поселений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Гулькевичского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района, включая иностранных граждан и лиц без гражданства, а также их уполномоченные представители. Количественная оценка динамики численности не требуется, поскольку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lastRenderedPageBreak/>
        <w:t>круг заявителей носит открытый характер и определяется фактическим спросом на услугу.</w:t>
      </w:r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Объективность и реализуемость целей правового регулирования.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Цели регламента (повышение качества и доступности услуги, стандартизация процедур, соблюдение градостроительных, санитарных, пожарных и экологических требований) объективны, соответствуют принципам правового регулирования и реализуемы с учётом действующих полномочий органов местного самоуправления и межведомственного взаимодействия.</w:t>
      </w:r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Проверяемость</w:t>
      </w:r>
      <w:proofErr w:type="spellEnd"/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показателей достижения целей и возможность мониторинга.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В регламенте заложены измеримые параметры: срок предоставления услуги (не более 45 дней), срок регистрации заявления (1 рабочий день), срок ожидания в очереди (не более 15 минут), сроки направления межведомственных запросов и ответов на них (до 5 рабочих дней). Эти показатели позволяют осуществлять последующий мониторинг исполнения регламента.</w:t>
      </w:r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Корректность оценки расходов.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Предоставление муниципальной услуги осуществляется бесплатно, государственная пошлина или иная плата не взимается. Дополнительные расходы для субъектов предпринимательской и иной экономической деятельности связаны исключительно с подготовкой документов, являющихся необходимыми и обязательными для предоставления услуги (например, проект переустройства и (или) перепланировки). Такие расходы не являются следствием введения правового регулирования, а обусловлены требованиями федерального законодательства. Расходы районного бюджета на реализацию регламента не требуются.</w:t>
      </w:r>
    </w:p>
    <w:p w:rsidR="007060CC" w:rsidRPr="007060CC" w:rsidRDefault="007060CC" w:rsidP="007060C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Степень выявления рисков.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Основные риски (затягивание сроков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за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задержек ответов на межведомственные запросы, ошибки при подаче документов заявителями, отказы по формальным основаниям) учтены в регламенте: предусмотрены сроки направления и получения ответов, исчерпывающие перечни документов и оснований для отказа, возможность повторного обращения после устранения нарушений.</w:t>
      </w:r>
    </w:p>
    <w:p w:rsidR="007060CC" w:rsidRPr="007060CC" w:rsidRDefault="007060CC" w:rsidP="00FE40D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Обоснование выбора варианта правового регулирования.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br/>
        <w:t>Выбранный вариант — утверждение административного регламента — является оптимальным, поскольку обеспечивает единообразное применение норм, прозрачность процедуры, защиту прав заявителей и исполнимость требований. Альтернативные варианты (например, упрощение процедуры за счёт сокращения проверок) противоречат требованиям Жилищного кодекса РФ и иным обязательным нормам, а отказ от регламента приведёт к правовой неопределённости и росту числа споров.</w:t>
      </w:r>
    </w:p>
    <w:p w:rsidR="00FE40DA" w:rsidRPr="00582D1B" w:rsidRDefault="007060CC" w:rsidP="00FE40D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Потенциальные группы участников общественных отношений, интересы которых затронуты регулированием.</w:t>
      </w:r>
    </w:p>
    <w:p w:rsidR="007060CC" w:rsidRPr="007060CC" w:rsidRDefault="00FE40DA" w:rsidP="00FE40D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60CC" w:rsidRPr="007060CC">
        <w:rPr>
          <w:rFonts w:ascii="Times New Roman" w:eastAsia="Times New Roman" w:hAnsi="Times New Roman" w:cs="Times New Roman"/>
          <w:sz w:val="28"/>
          <w:szCs w:val="28"/>
        </w:rPr>
        <w:t>Регулирование затрагивает интересы: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lastRenderedPageBreak/>
        <w:t>собственников жилых и нежилых помещений (физических и юридических лиц), планирующих перевод помещений;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представителей заявителей, действующих на основании доверенности;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органов местного самоуправления (Администрация, Уполномоченный орган), ответственных за предоставление услуги;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межведомственной комиссии по оценке и использованию жилищного фонда;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МФЦ, участвующих в приёме и выдаче документов;</w:t>
      </w:r>
    </w:p>
    <w:p w:rsidR="007060CC" w:rsidRPr="007060CC" w:rsidRDefault="007060CC" w:rsidP="007060C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иных органов и организаций, вовлечённых в межведомственное взаимодействие (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Роскадастр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>, БТИ и др.).</w:t>
      </w:r>
    </w:p>
    <w:p w:rsidR="007060CC" w:rsidRPr="007060CC" w:rsidRDefault="007060CC" w:rsidP="000E5B41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Проблема и возможность её решения иными средствами.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Проблема — отсутствие единых, прозрачных и контролируемых процедур перевода помещений, что может приводить к неоднородности практики, затягиванию сроков и необоснованным отказам. Решение иными правовыми, информационными или организационными средствами (без регламента) невозможно, так как процедура строго регламентирована федеральным законодательством (в частности, Жилищным кодексом РФ), а муниципальный уровень должен обеспечить её реализацию в рамках установленных полномочий.</w:t>
      </w:r>
    </w:p>
    <w:p w:rsidR="007060CC" w:rsidRPr="007060CC" w:rsidRDefault="007060CC" w:rsidP="000E5B41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Цели правового регулирования и их соответствие законодательству.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Цели регламента (стандартизация, повышение качества и доступности услуги) соответствуют принципам правового регулирования, установленным законодательством РФ и Краснодарского края, в том числе принципам законности, равенства, открытости и предсказуемости административных процедур.</w:t>
      </w:r>
    </w:p>
    <w:p w:rsidR="007060CC" w:rsidRPr="007060CC" w:rsidRDefault="007060CC" w:rsidP="000E5B41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Изменения в правах и обязанностях субъектов и полномочиях органов местного самоуправления.</w:t>
      </w:r>
      <w:r w:rsidR="00582D1B" w:rsidRPr="00706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Проект не изменяет содержание прав и обязанностей субъектов предпринимательской и иной экономической деятельности сверх требований федерального законодательства. Он лишь детализирует порядок реализации уже существующих прав и обязанностей в рамках предоставления муниципальной услуги. Полномочия органов местного самоуправления реализуются в строгом соответствии с действующим законодательством и не расширяются и не ограничиваются проектом.</w:t>
      </w:r>
    </w:p>
    <w:p w:rsidR="007060CC" w:rsidRPr="007060CC" w:rsidRDefault="007060CC" w:rsidP="000E5B41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Возможные риски и негативные последствия.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Основные риски:</w:t>
      </w:r>
    </w:p>
    <w:p w:rsidR="007060CC" w:rsidRPr="007060CC" w:rsidRDefault="007060CC" w:rsidP="007060C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задержки в предоставлении услуги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noBreakHyphen/>
        <w:t>за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несвоевременного поступления ответов на межведомственные запросы — минимизируются установленными сроками и контролем исполнения;</w:t>
      </w:r>
    </w:p>
    <w:p w:rsidR="007060CC" w:rsidRPr="007060CC" w:rsidRDefault="007060CC" w:rsidP="007060C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отказы по формальным основаниям — снижаются за счёт исчерпывающих перечней документов и оснований для отказа, а также возможности повторного обращения;</w:t>
      </w:r>
    </w:p>
    <w:p w:rsidR="007060CC" w:rsidRPr="007060CC" w:rsidRDefault="007060CC" w:rsidP="007060CC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>недостаточная информированность заявителей — устраняется размещением информации на официальных ресурсах и в МФЦ.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Негативные последствия для экономического развития района не выявлены.</w:t>
      </w:r>
    </w:p>
    <w:p w:rsidR="007060CC" w:rsidRPr="007060CC" w:rsidRDefault="007060CC" w:rsidP="00582D1B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Расходы бюджета и субъектов предпринимательской деятельности.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Расходы местного бюджета на реализацию проекта не требуются. Расходы субъектов предпринимательской и инвестиционной деятельности связаны исключительно с подготовкой документов, необходимых для предоставления услуги, и не являются избыточными.</w:t>
      </w:r>
    </w:p>
    <w:p w:rsidR="007060CC" w:rsidRPr="007060CC" w:rsidRDefault="007060CC" w:rsidP="00AD6D0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Публичные консультации по проекту </w:t>
      </w:r>
      <w:r w:rsidR="001660AB" w:rsidRPr="007060CC">
        <w:rPr>
          <w:rFonts w:ascii="Times New Roman" w:eastAsia="Times New Roman" w:hAnsi="Times New Roman" w:cs="Times New Roman"/>
          <w:sz w:val="28"/>
          <w:szCs w:val="28"/>
        </w:rPr>
        <w:t>проведены</w:t>
      </w:r>
      <w:r w:rsidR="001660AB" w:rsidRPr="001660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в период </w:t>
      </w:r>
      <w:r w:rsidR="001660AB" w:rsidRPr="001660AB">
        <w:rPr>
          <w:rFonts w:ascii="Times New Roman" w:eastAsia="Times New Roman" w:hAnsi="Times New Roman" w:cs="Times New Roman"/>
          <w:sz w:val="28"/>
          <w:szCs w:val="28"/>
        </w:rPr>
        <w:t>с «08</w:t>
      </w:r>
      <w:r w:rsidR="001660AB" w:rsidRPr="001660AB">
        <w:rPr>
          <w:rFonts w:ascii="Times New Roman" w:eastAsia="Times New Roman" w:hAnsi="Times New Roman" w:cs="Times New Roman"/>
          <w:bCs/>
          <w:iCs/>
          <w:sz w:val="28"/>
          <w:szCs w:val="28"/>
        </w:rPr>
        <w:t>» октября</w:t>
      </w:r>
      <w:r w:rsidR="001660AB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1660AB" w:rsidRPr="001660AB">
        <w:rPr>
          <w:rFonts w:ascii="Times New Roman" w:eastAsia="Times New Roman" w:hAnsi="Times New Roman" w:cs="Times New Roman"/>
          <w:bCs/>
          <w:iCs/>
          <w:sz w:val="28"/>
          <w:szCs w:val="28"/>
        </w:rPr>
        <w:t>20</w:t>
      </w:r>
      <w:r w:rsidR="001660AB" w:rsidRPr="001660AB">
        <w:rPr>
          <w:rFonts w:ascii="Times New Roman" w:eastAsia="Times New Roman" w:hAnsi="Times New Roman" w:cs="Times New Roman"/>
          <w:sz w:val="28"/>
          <w:szCs w:val="28"/>
        </w:rPr>
        <w:t>26г. по «21</w:t>
      </w:r>
      <w:r w:rsidR="001660AB" w:rsidRPr="001660AB">
        <w:rPr>
          <w:rFonts w:ascii="Times New Roman" w:eastAsia="Times New Roman" w:hAnsi="Times New Roman" w:cs="Times New Roman"/>
          <w:bCs/>
          <w:iCs/>
          <w:sz w:val="28"/>
          <w:szCs w:val="28"/>
        </w:rPr>
        <w:t>» октября 2026</w:t>
      </w:r>
      <w:r w:rsidR="001660AB" w:rsidRPr="001660AB">
        <w:rPr>
          <w:rFonts w:ascii="Times New Roman" w:eastAsia="Times New Roman" w:hAnsi="Times New Roman" w:cs="Times New Roman"/>
          <w:sz w:val="28"/>
          <w:szCs w:val="28"/>
        </w:rPr>
        <w:t> г.</w:t>
      </w:r>
      <w:r w:rsidR="001660AB" w:rsidRPr="00424FA8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 включительно.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Информация о консультациях была размещена на официальном сайте муниципального образования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район. Замечания и предложения участников публичных консультаций не поступили</w:t>
      </w:r>
      <w:r w:rsidR="00AD6D0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60CC" w:rsidRPr="007060CC" w:rsidRDefault="007060CC" w:rsidP="00AD6D0A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оценки установлено, что в проекте административного регламента отсутствуют положения, вводящие избыточные обязательные требования для субъектов предпринимательской и инвестиционной деятельности, необоснованные обязанности, запреты и ограничения, а также положения, способствующие возникновению необоснованных расходов субъектов предпринимательской деятельности или местного бюджета. Проект не оказывает негативного влияния на отрасли экономики муниципального образования </w:t>
      </w:r>
      <w:proofErr w:type="spellStart"/>
      <w:r w:rsidRPr="007060CC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7060CC">
        <w:rPr>
          <w:rFonts w:ascii="Times New Roman" w:eastAsia="Times New Roman" w:hAnsi="Times New Roman" w:cs="Times New Roman"/>
          <w:sz w:val="28"/>
          <w:szCs w:val="28"/>
        </w:rPr>
        <w:t xml:space="preserve"> район.</w:t>
      </w:r>
    </w:p>
    <w:p w:rsidR="007060CC" w:rsidRPr="007060CC" w:rsidRDefault="007060CC" w:rsidP="001C1EE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D1B">
        <w:rPr>
          <w:rFonts w:ascii="Times New Roman" w:eastAsia="Times New Roman" w:hAnsi="Times New Roman" w:cs="Times New Roman"/>
          <w:b/>
          <w:bCs/>
          <w:sz w:val="28"/>
          <w:szCs w:val="28"/>
        </w:rPr>
        <w:t>Вывод:</w:t>
      </w:r>
      <w:r w:rsidR="00FE40DA" w:rsidRPr="00582D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60CC">
        <w:rPr>
          <w:rFonts w:ascii="Times New Roman" w:eastAsia="Times New Roman" w:hAnsi="Times New Roman" w:cs="Times New Roman"/>
          <w:sz w:val="28"/>
          <w:szCs w:val="28"/>
        </w:rPr>
        <w:t>Проект административного регламента предоставления муниципальной услуги «Перевод жилого помещения в нежилое помещение и нежилого помещения в жилое помещение» соответствует требованиям Порядка проведения оценки регулирующего воздействия, не содержит избыточных ограничений и необоснованных расходов, способствует повышению качества и доступности муниципальной услуги. Уполномоченный орган считает возможным согласование проекта в представленной редакции.</w:t>
      </w:r>
    </w:p>
    <w:p w:rsidR="00BA607D" w:rsidRPr="007C1815" w:rsidRDefault="00BA607D" w:rsidP="001C1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1815" w:rsidRPr="007C1815" w:rsidRDefault="007C1815" w:rsidP="001C1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1815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7C1815">
        <w:rPr>
          <w:rFonts w:ascii="Times New Roman" w:hAnsi="Times New Roman" w:cs="Times New Roman"/>
          <w:sz w:val="28"/>
          <w:szCs w:val="28"/>
        </w:rPr>
        <w:t xml:space="preserve"> обязанности н</w:t>
      </w:r>
      <w:r w:rsidR="001C1EE6" w:rsidRPr="007C1815">
        <w:rPr>
          <w:rFonts w:ascii="Times New Roman" w:hAnsi="Times New Roman" w:cs="Times New Roman"/>
          <w:sz w:val="28"/>
          <w:szCs w:val="28"/>
        </w:rPr>
        <w:t>ачальник</w:t>
      </w:r>
      <w:r w:rsidRPr="007C1815">
        <w:rPr>
          <w:rFonts w:ascii="Times New Roman" w:hAnsi="Times New Roman" w:cs="Times New Roman"/>
          <w:sz w:val="28"/>
          <w:szCs w:val="28"/>
        </w:rPr>
        <w:t>а</w:t>
      </w:r>
    </w:p>
    <w:p w:rsidR="001C1EE6" w:rsidRPr="007C1815" w:rsidRDefault="001C1EE6" w:rsidP="001C1E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5">
        <w:rPr>
          <w:rFonts w:ascii="Times New Roman" w:hAnsi="Times New Roman" w:cs="Times New Roman"/>
          <w:sz w:val="28"/>
          <w:szCs w:val="28"/>
        </w:rPr>
        <w:t xml:space="preserve"> управления экономики </w:t>
      </w:r>
    </w:p>
    <w:p w:rsidR="00734B8A" w:rsidRPr="00BC7B41" w:rsidRDefault="001C1EE6" w:rsidP="00BC7B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815">
        <w:rPr>
          <w:rFonts w:ascii="Times New Roman" w:hAnsi="Times New Roman" w:cs="Times New Roman"/>
          <w:sz w:val="28"/>
          <w:szCs w:val="28"/>
        </w:rPr>
        <w:t xml:space="preserve">и потребительской сферы                            </w:t>
      </w:r>
      <w:r w:rsidR="007C1815" w:rsidRPr="007C181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C1815">
        <w:rPr>
          <w:rFonts w:ascii="Times New Roman" w:hAnsi="Times New Roman" w:cs="Times New Roman"/>
          <w:sz w:val="28"/>
          <w:szCs w:val="28"/>
        </w:rPr>
        <w:t xml:space="preserve">     </w:t>
      </w:r>
      <w:r w:rsidR="007C1815" w:rsidRPr="007C1815">
        <w:rPr>
          <w:rFonts w:ascii="Times New Roman" w:hAnsi="Times New Roman" w:cs="Times New Roman"/>
          <w:sz w:val="28"/>
          <w:szCs w:val="28"/>
        </w:rPr>
        <w:t xml:space="preserve">Ю.А. </w:t>
      </w:r>
      <w:proofErr w:type="spellStart"/>
      <w:r w:rsidR="007C1815" w:rsidRPr="007C1815">
        <w:rPr>
          <w:rFonts w:ascii="Times New Roman" w:hAnsi="Times New Roman" w:cs="Times New Roman"/>
          <w:sz w:val="28"/>
          <w:szCs w:val="28"/>
        </w:rPr>
        <w:t>Пиданов</w:t>
      </w:r>
      <w:proofErr w:type="spellEnd"/>
    </w:p>
    <w:sectPr w:rsidR="00734B8A" w:rsidRPr="00BC7B41" w:rsidSect="00BC7B41">
      <w:pgSz w:w="11906" w:h="16838"/>
      <w:pgMar w:top="794" w:right="851" w:bottom="737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6609A"/>
    <w:multiLevelType w:val="multilevel"/>
    <w:tmpl w:val="5E00B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CC10D8"/>
    <w:multiLevelType w:val="multilevel"/>
    <w:tmpl w:val="E15C2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000F1E"/>
    <w:multiLevelType w:val="multilevel"/>
    <w:tmpl w:val="A496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6C788A"/>
    <w:multiLevelType w:val="multilevel"/>
    <w:tmpl w:val="2BC4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060CC"/>
    <w:rsid w:val="000E5B41"/>
    <w:rsid w:val="001660AB"/>
    <w:rsid w:val="001A35D7"/>
    <w:rsid w:val="001C1EE6"/>
    <w:rsid w:val="00325277"/>
    <w:rsid w:val="00582D1B"/>
    <w:rsid w:val="00606747"/>
    <w:rsid w:val="007060CC"/>
    <w:rsid w:val="00734B8A"/>
    <w:rsid w:val="007C1815"/>
    <w:rsid w:val="008B270A"/>
    <w:rsid w:val="00A6634F"/>
    <w:rsid w:val="00AD6D0A"/>
    <w:rsid w:val="00B93C35"/>
    <w:rsid w:val="00BA607D"/>
    <w:rsid w:val="00BC7B41"/>
    <w:rsid w:val="00BE777B"/>
    <w:rsid w:val="00EC2691"/>
    <w:rsid w:val="00FE4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6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60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16</cp:revision>
  <dcterms:created xsi:type="dcterms:W3CDTF">2026-10-20T07:03:00Z</dcterms:created>
  <dcterms:modified xsi:type="dcterms:W3CDTF">2026-10-20T11:30:00Z</dcterms:modified>
</cp:coreProperties>
</file>