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396" w:rsidRDefault="003022E7" w:rsidP="00AE3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E3396">
        <w:rPr>
          <w:rFonts w:ascii="Times New Roman" w:hAnsi="Times New Roman" w:cs="Times New Roman"/>
          <w:sz w:val="28"/>
          <w:szCs w:val="28"/>
        </w:rPr>
        <w:t xml:space="preserve"> </w:t>
      </w:r>
      <w:r w:rsidR="00AE3396"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AE339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E3396" w:rsidRPr="007777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E3396" w:rsidRPr="00777705" w:rsidRDefault="00AE3396" w:rsidP="00AE3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AE3396" w:rsidRDefault="00AE3396" w:rsidP="00AE3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 решению  34 сессии 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AE3396" w:rsidRDefault="00AE3396" w:rsidP="00AE3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Совета муниципального образования </w:t>
      </w:r>
    </w:p>
    <w:p w:rsidR="00AE3396" w:rsidRDefault="00AE3396" w:rsidP="00AE3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AE3396" w:rsidRPr="002243F0" w:rsidRDefault="00AE3396" w:rsidP="00AE33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от  30.06.2017 г. №  2</w:t>
      </w:r>
    </w:p>
    <w:p w:rsidR="00580F61" w:rsidRPr="003A270A" w:rsidRDefault="00580F61" w:rsidP="003022E7">
      <w:pPr>
        <w:tabs>
          <w:tab w:val="left" w:pos="378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22E7" w:rsidRPr="003A270A" w:rsidRDefault="003A270A" w:rsidP="003A270A">
      <w:pPr>
        <w:tabs>
          <w:tab w:val="left" w:pos="3784"/>
        </w:tabs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70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022E7" w:rsidRPr="003A270A">
        <w:rPr>
          <w:rFonts w:ascii="Times New Roman" w:hAnsi="Times New Roman" w:cs="Times New Roman"/>
          <w:sz w:val="28"/>
          <w:szCs w:val="28"/>
        </w:rPr>
        <w:t>Информация</w:t>
      </w:r>
    </w:p>
    <w:p w:rsidR="003022E7" w:rsidRDefault="003022E7" w:rsidP="003A270A">
      <w:pPr>
        <w:tabs>
          <w:tab w:val="left" w:pos="3784"/>
        </w:tabs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закупок товаров, работ, услуг для муниципальных нужд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A270A" w:rsidRDefault="003A270A" w:rsidP="003A270A">
      <w:pPr>
        <w:tabs>
          <w:tab w:val="left" w:pos="3784"/>
        </w:tabs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13258" w:rsidRPr="00113258" w:rsidRDefault="00113258" w:rsidP="00113258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 (далее – Закон, Контрактная система) вступил в силу с 01 января 2014 года.</w:t>
      </w:r>
    </w:p>
    <w:p w:rsidR="00113258" w:rsidRDefault="00113258" w:rsidP="00113258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sz w:val="28"/>
          <w:szCs w:val="28"/>
        </w:rPr>
        <w:t xml:space="preserve">Законом декларируются принципы осуществления закупок, среди которых необходимо выделить принципы профессионализма заказчика и стимулирования инноваций. Контрактная система в сфере закупок предусматривает осуществление деятельности заказчика, специализированной организации и контрольного органа в сфере закупок на профессиональной основе с привлечением квалифицированных специалистов, обладающих теоретическими знаниями и навыками в сфере закупок. Если годовой объем закупок заказчика превышает 100 млн. руб., должны быть созданы специальные структурные подразделения – </w:t>
      </w:r>
      <w:r w:rsidRPr="00113258">
        <w:rPr>
          <w:rStyle w:val="a3"/>
          <w:sz w:val="28"/>
          <w:szCs w:val="28"/>
        </w:rPr>
        <w:t xml:space="preserve">контрактные службы </w:t>
      </w:r>
      <w:r w:rsidRPr="00113258">
        <w:rPr>
          <w:sz w:val="28"/>
          <w:szCs w:val="28"/>
        </w:rPr>
        <w:t xml:space="preserve">(создание специального структурного подразделения для образования контрактной службы не является обязательным). Если объем закупок не превышает 100 млн. руб. и при отсутствии у заказчика контрактной службы, назначается должностное лицо, ответственное за осуществление конкретной закупки и исполнение контракта – </w:t>
      </w:r>
      <w:r w:rsidRPr="00113258">
        <w:rPr>
          <w:rStyle w:val="a3"/>
          <w:sz w:val="28"/>
          <w:szCs w:val="28"/>
        </w:rPr>
        <w:t>контрактный управляющий</w:t>
      </w:r>
      <w:r w:rsidRPr="00113258">
        <w:rPr>
          <w:sz w:val="28"/>
          <w:szCs w:val="28"/>
        </w:rPr>
        <w:t>.</w:t>
      </w:r>
    </w:p>
    <w:p w:rsidR="00A9669E" w:rsidRPr="00113258" w:rsidRDefault="00A9669E" w:rsidP="00113258">
      <w:pPr>
        <w:pStyle w:val="rtejustify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обучены контрактные управляющие на 93 % от общего количества. В сентябре 2016 года и в марте 2017 года в МО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проведены  двухнедельные курсы повышения квалификации в сфере закупок ООО «Академия стратегического управления» (г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раснодар).</w:t>
      </w:r>
    </w:p>
    <w:p w:rsidR="00113258" w:rsidRPr="00113258" w:rsidRDefault="00113258" w:rsidP="00A9669E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sz w:val="28"/>
          <w:szCs w:val="28"/>
        </w:rPr>
        <w:t xml:space="preserve">Контрактная система охватывает весь </w:t>
      </w:r>
      <w:r w:rsidRPr="00113258">
        <w:rPr>
          <w:rStyle w:val="a3"/>
          <w:sz w:val="28"/>
          <w:szCs w:val="28"/>
        </w:rPr>
        <w:t xml:space="preserve">цикл </w:t>
      </w:r>
      <w:proofErr w:type="spellStart"/>
      <w:r w:rsidRPr="00113258">
        <w:rPr>
          <w:rStyle w:val="a3"/>
          <w:sz w:val="28"/>
          <w:szCs w:val="28"/>
        </w:rPr>
        <w:t>госзакупок</w:t>
      </w:r>
      <w:proofErr w:type="spellEnd"/>
      <w:r w:rsidRPr="00113258">
        <w:rPr>
          <w:sz w:val="28"/>
          <w:szCs w:val="28"/>
        </w:rPr>
        <w:t xml:space="preserve"> и регулирует:</w:t>
      </w:r>
    </w:p>
    <w:p w:rsidR="00113258" w:rsidRPr="00113258" w:rsidRDefault="00113258" w:rsidP="00113258">
      <w:pPr>
        <w:pStyle w:val="rtejustify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−планирование закупок товаров, работ, услуг;</w:t>
      </w:r>
    </w:p>
    <w:p w:rsidR="00113258" w:rsidRPr="00113258" w:rsidRDefault="00113258" w:rsidP="00113258">
      <w:pPr>
        <w:pStyle w:val="rtejustify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−конкурентные процедуры определения поставщиков;</w:t>
      </w:r>
    </w:p>
    <w:p w:rsidR="00113258" w:rsidRPr="00113258" w:rsidRDefault="00113258" w:rsidP="00113258">
      <w:pPr>
        <w:pStyle w:val="rtejustify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−заключение гражданско-правового договора (контракта);</w:t>
      </w:r>
    </w:p>
    <w:p w:rsidR="00113258" w:rsidRPr="00113258" w:rsidRDefault="00113258" w:rsidP="00113258">
      <w:pPr>
        <w:pStyle w:val="rtejustify"/>
        <w:jc w:val="both"/>
        <w:rPr>
          <w:sz w:val="28"/>
          <w:szCs w:val="28"/>
        </w:rPr>
      </w:pPr>
      <w:r w:rsidRPr="00113258">
        <w:rPr>
          <w:sz w:val="28"/>
          <w:szCs w:val="28"/>
        </w:rPr>
        <w:lastRenderedPageBreak/>
        <w:t>−особенности исполнения контрактов;</w:t>
      </w:r>
    </w:p>
    <w:p w:rsidR="00113258" w:rsidRPr="00113258" w:rsidRDefault="00113258" w:rsidP="00113258">
      <w:pPr>
        <w:pStyle w:val="rtejustify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−мониторинг закупок товаров, работ, услуг;</w:t>
      </w:r>
    </w:p>
    <w:p w:rsidR="00113258" w:rsidRPr="00113258" w:rsidRDefault="00113258" w:rsidP="00113258">
      <w:pPr>
        <w:pStyle w:val="rtejustify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−аудит в сфере закупок товаров, работ, услуг;</w:t>
      </w:r>
    </w:p>
    <w:p w:rsidR="00113258" w:rsidRPr="00113258" w:rsidRDefault="00113258" w:rsidP="00113258">
      <w:pPr>
        <w:pStyle w:val="rtejustify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−контроль в сфере закупок.</w:t>
      </w:r>
    </w:p>
    <w:p w:rsidR="00113258" w:rsidRPr="00113258" w:rsidRDefault="00113258" w:rsidP="00812D0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rStyle w:val="a3"/>
          <w:sz w:val="28"/>
          <w:szCs w:val="28"/>
        </w:rPr>
        <w:t>Этап планирования закупок.</w:t>
      </w:r>
      <w:r w:rsidRPr="00113258">
        <w:rPr>
          <w:sz w:val="28"/>
          <w:szCs w:val="28"/>
        </w:rPr>
        <w:t xml:space="preserve"> Планирование рассматривается как важнейший элемент системы. </w:t>
      </w:r>
      <w:r>
        <w:rPr>
          <w:sz w:val="28"/>
          <w:szCs w:val="28"/>
        </w:rPr>
        <w:t>В</w:t>
      </w:r>
      <w:r w:rsidRPr="00113258">
        <w:rPr>
          <w:sz w:val="28"/>
          <w:szCs w:val="28"/>
        </w:rPr>
        <w:t>веден</w:t>
      </w:r>
      <w:r>
        <w:rPr>
          <w:sz w:val="28"/>
          <w:szCs w:val="28"/>
        </w:rPr>
        <w:t>ы</w:t>
      </w:r>
      <w:r w:rsidRPr="00113258">
        <w:rPr>
          <w:sz w:val="28"/>
          <w:szCs w:val="28"/>
        </w:rPr>
        <w:t xml:space="preserve"> план</w:t>
      </w:r>
      <w:r>
        <w:rPr>
          <w:sz w:val="28"/>
          <w:szCs w:val="28"/>
        </w:rPr>
        <w:t>ы</w:t>
      </w:r>
      <w:r w:rsidRPr="00113258">
        <w:rPr>
          <w:sz w:val="28"/>
          <w:szCs w:val="28"/>
        </w:rPr>
        <w:t xml:space="preserve"> закупок, которые разрабатыва</w:t>
      </w:r>
      <w:r>
        <w:rPr>
          <w:sz w:val="28"/>
          <w:szCs w:val="28"/>
        </w:rPr>
        <w:t>ю</w:t>
      </w:r>
      <w:r w:rsidRPr="00113258">
        <w:rPr>
          <w:sz w:val="28"/>
          <w:szCs w:val="28"/>
        </w:rPr>
        <w:t>тся заказчиками на три года и план</w:t>
      </w:r>
      <w:proofErr w:type="gramStart"/>
      <w:r>
        <w:rPr>
          <w:sz w:val="28"/>
          <w:szCs w:val="28"/>
        </w:rPr>
        <w:t>ы-</w:t>
      </w:r>
      <w:proofErr w:type="gramEnd"/>
      <w:r w:rsidRPr="00113258">
        <w:rPr>
          <w:sz w:val="28"/>
          <w:szCs w:val="28"/>
        </w:rPr>
        <w:t xml:space="preserve"> график</w:t>
      </w:r>
      <w:r>
        <w:rPr>
          <w:sz w:val="28"/>
          <w:szCs w:val="28"/>
        </w:rPr>
        <w:t>и</w:t>
      </w:r>
      <w:r w:rsidRPr="00113258">
        <w:rPr>
          <w:sz w:val="28"/>
          <w:szCs w:val="28"/>
        </w:rPr>
        <w:t xml:space="preserve"> на текущий год.</w:t>
      </w:r>
    </w:p>
    <w:p w:rsidR="00113258" w:rsidRPr="00113258" w:rsidRDefault="00113258" w:rsidP="00812D0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Планы закупок и планы-графики включа</w:t>
      </w:r>
      <w:r>
        <w:rPr>
          <w:sz w:val="28"/>
          <w:szCs w:val="28"/>
        </w:rPr>
        <w:t>ю</w:t>
      </w:r>
      <w:r w:rsidRPr="00113258">
        <w:rPr>
          <w:sz w:val="28"/>
          <w:szCs w:val="28"/>
        </w:rPr>
        <w:t>т довольно подробную информацию, в частности: цель осуществления закупки; описание объекта закупки, объем закупки; сроки (периодичность) осуществления планируемых закупок; обоснование закупки  и др.</w:t>
      </w:r>
    </w:p>
    <w:p w:rsidR="00113258" w:rsidRPr="00113258" w:rsidRDefault="00113258" w:rsidP="00812D0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rStyle w:val="a3"/>
          <w:sz w:val="28"/>
          <w:szCs w:val="28"/>
        </w:rPr>
        <w:t xml:space="preserve">Способы закупок </w:t>
      </w:r>
      <w:r w:rsidRPr="00113258">
        <w:rPr>
          <w:sz w:val="28"/>
          <w:szCs w:val="28"/>
        </w:rPr>
        <w:t>(виды процедур). В дополнение к старым способам определения поставщиков (подряд</w:t>
      </w:r>
      <w:r>
        <w:rPr>
          <w:sz w:val="28"/>
          <w:szCs w:val="28"/>
        </w:rPr>
        <w:t>чиков, исполнителей) (электронный аукцион, открытый конкурс, запрос котировок, закупка у единственного поставщика) Законом введены</w:t>
      </w:r>
      <w:r w:rsidRPr="00113258">
        <w:rPr>
          <w:sz w:val="28"/>
          <w:szCs w:val="28"/>
        </w:rPr>
        <w:t xml:space="preserve"> новые – конкурс с ограниченным участием, двухэтапный конкурс и запрос предложений.</w:t>
      </w:r>
    </w:p>
    <w:p w:rsidR="00A9669E" w:rsidRDefault="00113258" w:rsidP="00812D06">
      <w:pPr>
        <w:pStyle w:val="rtejustify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Законом п</w:t>
      </w:r>
      <w:r w:rsidRPr="00113258">
        <w:rPr>
          <w:sz w:val="28"/>
          <w:szCs w:val="28"/>
        </w:rPr>
        <w:t>редусмотр</w:t>
      </w:r>
      <w:r>
        <w:rPr>
          <w:sz w:val="28"/>
          <w:szCs w:val="28"/>
        </w:rPr>
        <w:t>ена</w:t>
      </w:r>
      <w:r w:rsidRPr="00113258">
        <w:rPr>
          <w:sz w:val="28"/>
          <w:szCs w:val="28"/>
        </w:rPr>
        <w:t xml:space="preserve"> необходимость </w:t>
      </w:r>
      <w:r w:rsidRPr="00113258">
        <w:rPr>
          <w:rStyle w:val="a3"/>
          <w:sz w:val="28"/>
          <w:szCs w:val="28"/>
        </w:rPr>
        <w:t>обоснования не только начальной (максимальной) цены контракта, но и объекта закупки</w:t>
      </w:r>
      <w:r w:rsidRPr="00113258">
        <w:rPr>
          <w:sz w:val="28"/>
          <w:szCs w:val="28"/>
        </w:rPr>
        <w:t xml:space="preserve"> исходя из необходимости реализации конкретной цели, требований к закупаемым товару, работе, услуге, способ определения поставщика (исполнителя, подрядчика), дополнительные требования к участникам закупки. </w:t>
      </w:r>
      <w:proofErr w:type="gramEnd"/>
    </w:p>
    <w:p w:rsidR="00113258" w:rsidRPr="00113258" w:rsidRDefault="00113258" w:rsidP="00812D0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В качестве обоснования начальной (максимальной) цены контракта и единственного источника установлены следующие методы: сопоставимых рыночных цен (анализа рынка); нормативный; тарифный; проектно-сметный; затратный.</w:t>
      </w:r>
    </w:p>
    <w:p w:rsidR="00113258" w:rsidRPr="00113258" w:rsidRDefault="00113258" w:rsidP="00812D0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Метод сопоставимых рыночных цен (анализа рынка) является приоритетным для определения и обоснования начальной (максимальной) цены контракта, а также цены контракта, заключаемого с единственным поставщиком</w:t>
      </w:r>
    </w:p>
    <w:p w:rsidR="00113258" w:rsidRPr="00113258" w:rsidRDefault="00A9669E" w:rsidP="00812D06">
      <w:pPr>
        <w:pStyle w:val="rtejustify"/>
        <w:ind w:firstLine="708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>Предусмотрены а</w:t>
      </w:r>
      <w:r w:rsidR="00113258" w:rsidRPr="00113258">
        <w:rPr>
          <w:rStyle w:val="a3"/>
          <w:sz w:val="28"/>
          <w:szCs w:val="28"/>
        </w:rPr>
        <w:t xml:space="preserve">нтидемпинговые меры. </w:t>
      </w:r>
      <w:r w:rsidR="00113258" w:rsidRPr="00113258">
        <w:rPr>
          <w:sz w:val="28"/>
          <w:szCs w:val="28"/>
        </w:rPr>
        <w:t xml:space="preserve">Законом </w:t>
      </w:r>
      <w:r w:rsidR="00812D06">
        <w:rPr>
          <w:sz w:val="28"/>
          <w:szCs w:val="28"/>
        </w:rPr>
        <w:t>установлено</w:t>
      </w:r>
      <w:r w:rsidR="00113258" w:rsidRPr="00113258">
        <w:rPr>
          <w:sz w:val="28"/>
          <w:szCs w:val="28"/>
        </w:rPr>
        <w:t>, что если цена контракта по результатам торгов снижена на 25%  и более от начальной (максимальной) цены контракта, победитель предоставляет обеспечение исполнения контракта в повышенном размере или информацию, подтверждающую добросовестность такого участника, а также обоснование цены контракта. В случае невыполнения этих требований, контракт с таким участником заключаться не будет.</w:t>
      </w:r>
    </w:p>
    <w:p w:rsidR="00113258" w:rsidRPr="00113258" w:rsidRDefault="00113258" w:rsidP="00812D0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sz w:val="28"/>
          <w:szCs w:val="28"/>
        </w:rPr>
        <w:lastRenderedPageBreak/>
        <w:t>Появилась совершенно новая</w:t>
      </w:r>
      <w:r w:rsidR="00812D06" w:rsidRPr="00812D06">
        <w:rPr>
          <w:rStyle w:val="a3"/>
          <w:sz w:val="28"/>
          <w:szCs w:val="28"/>
        </w:rPr>
        <w:t xml:space="preserve"> </w:t>
      </w:r>
      <w:proofErr w:type="spellStart"/>
      <w:r w:rsidR="00812D06">
        <w:rPr>
          <w:rStyle w:val="a3"/>
          <w:sz w:val="28"/>
          <w:szCs w:val="28"/>
        </w:rPr>
        <w:t>а</w:t>
      </w:r>
      <w:r w:rsidR="00812D06" w:rsidRPr="00113258">
        <w:rPr>
          <w:rStyle w:val="a3"/>
          <w:sz w:val="28"/>
          <w:szCs w:val="28"/>
        </w:rPr>
        <w:t>нтикоррупционная</w:t>
      </w:r>
      <w:proofErr w:type="spellEnd"/>
      <w:r w:rsidR="00812D06" w:rsidRPr="00113258">
        <w:rPr>
          <w:rStyle w:val="a3"/>
          <w:sz w:val="28"/>
          <w:szCs w:val="28"/>
        </w:rPr>
        <w:t xml:space="preserve"> составляющая.</w:t>
      </w:r>
      <w:r w:rsidR="00812D06">
        <w:rPr>
          <w:rStyle w:val="a3"/>
          <w:sz w:val="28"/>
          <w:szCs w:val="28"/>
        </w:rPr>
        <w:t xml:space="preserve"> </w:t>
      </w:r>
      <w:r w:rsidR="00812D06" w:rsidRPr="00812D06">
        <w:rPr>
          <w:rStyle w:val="a3"/>
          <w:b w:val="0"/>
          <w:sz w:val="28"/>
          <w:szCs w:val="28"/>
        </w:rPr>
        <w:t>П</w:t>
      </w:r>
      <w:r w:rsidRPr="00113258">
        <w:rPr>
          <w:sz w:val="28"/>
          <w:szCs w:val="28"/>
        </w:rPr>
        <w:t xml:space="preserve">о сравнению с законом 94-ФЗ, норма, ограничивающая личную заинтересованность участников процесса закупок в их итогах (данная норма прописана в нескольких разделах Закона). </w:t>
      </w:r>
      <w:proofErr w:type="gramStart"/>
      <w:r w:rsidRPr="00113258">
        <w:rPr>
          <w:sz w:val="28"/>
          <w:szCs w:val="28"/>
        </w:rPr>
        <w:t xml:space="preserve">Так, например, контракт может быть признан недействительным, если будет установлено, что определенные должностные лица со стороны заказчика состоят в браке с лицами, с которыми заключен контракт, либо являются близкими родственниками (по прямой восходящей или нисходящей линиям–родителями и детьми; дедушкой, бабушкой и внуками; полнородными и </w:t>
      </w:r>
      <w:proofErr w:type="spellStart"/>
      <w:r w:rsidRPr="00113258">
        <w:rPr>
          <w:sz w:val="28"/>
          <w:szCs w:val="28"/>
        </w:rPr>
        <w:t>неполнородными</w:t>
      </w:r>
      <w:proofErr w:type="spellEnd"/>
      <w:r w:rsidRPr="00113258">
        <w:rPr>
          <w:sz w:val="28"/>
          <w:szCs w:val="28"/>
        </w:rPr>
        <w:t xml:space="preserve"> (имеющими общих отца или мать) братьями и сестрами;</w:t>
      </w:r>
      <w:proofErr w:type="gramEnd"/>
      <w:r w:rsidRPr="00113258">
        <w:rPr>
          <w:sz w:val="28"/>
          <w:szCs w:val="28"/>
        </w:rPr>
        <w:t xml:space="preserve"> усыновителями или усыновленными).</w:t>
      </w:r>
    </w:p>
    <w:p w:rsidR="00812D06" w:rsidRDefault="00113258" w:rsidP="00530E3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rStyle w:val="a3"/>
          <w:sz w:val="28"/>
          <w:szCs w:val="28"/>
        </w:rPr>
        <w:t xml:space="preserve">Общественное обсуждение закупок. </w:t>
      </w:r>
      <w:r w:rsidRPr="00113258">
        <w:rPr>
          <w:sz w:val="28"/>
          <w:szCs w:val="28"/>
        </w:rPr>
        <w:t xml:space="preserve">Увеличивается роль общественного обсуждения закупок. </w:t>
      </w:r>
      <w:r w:rsidR="00812D06">
        <w:rPr>
          <w:sz w:val="28"/>
          <w:szCs w:val="28"/>
        </w:rPr>
        <w:t xml:space="preserve">Действует </w:t>
      </w:r>
      <w:r w:rsidRPr="00113258">
        <w:rPr>
          <w:sz w:val="28"/>
          <w:szCs w:val="28"/>
        </w:rPr>
        <w:t xml:space="preserve"> правило, согласно которому общественному обсуждению подлежат закупки, если начальная (максимальная) цена контракта превышает 1 млрд. руб. </w:t>
      </w:r>
    </w:p>
    <w:p w:rsidR="00113258" w:rsidRPr="00113258" w:rsidRDefault="00812D06" w:rsidP="00113258">
      <w:pPr>
        <w:pStyle w:val="rtejustify"/>
        <w:jc w:val="both"/>
        <w:rPr>
          <w:sz w:val="28"/>
          <w:szCs w:val="28"/>
        </w:rPr>
      </w:pPr>
      <w:r>
        <w:rPr>
          <w:sz w:val="28"/>
          <w:szCs w:val="28"/>
        </w:rPr>
        <w:t>Также</w:t>
      </w:r>
      <w:r w:rsidR="00113258" w:rsidRPr="00113258">
        <w:rPr>
          <w:sz w:val="28"/>
          <w:szCs w:val="28"/>
        </w:rPr>
        <w:t xml:space="preserve"> установлены случаи и порядок проведения общественного обсуждения</w:t>
      </w:r>
      <w:r>
        <w:rPr>
          <w:sz w:val="28"/>
          <w:szCs w:val="28"/>
        </w:rPr>
        <w:t xml:space="preserve"> по принятию НПА в сфере закупок</w:t>
      </w:r>
      <w:r w:rsidR="00113258" w:rsidRPr="00113258">
        <w:rPr>
          <w:sz w:val="28"/>
          <w:szCs w:val="28"/>
        </w:rPr>
        <w:t>.</w:t>
      </w:r>
    </w:p>
    <w:p w:rsidR="00113258" w:rsidRPr="00113258" w:rsidRDefault="00113258" w:rsidP="00530E3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rStyle w:val="a3"/>
          <w:sz w:val="28"/>
          <w:szCs w:val="28"/>
        </w:rPr>
        <w:t>Мониторинг. Аудит. Контроль.</w:t>
      </w:r>
      <w:r w:rsidR="00530E36">
        <w:rPr>
          <w:rStyle w:val="a3"/>
          <w:sz w:val="28"/>
          <w:szCs w:val="28"/>
        </w:rPr>
        <w:t xml:space="preserve"> </w:t>
      </w:r>
      <w:r w:rsidRPr="00113258">
        <w:rPr>
          <w:sz w:val="28"/>
          <w:szCs w:val="28"/>
        </w:rPr>
        <w:t xml:space="preserve">Законом предусмотрено больше способов оценки эффективности осуществления </w:t>
      </w:r>
      <w:proofErr w:type="spellStart"/>
      <w:r w:rsidRPr="00113258">
        <w:rPr>
          <w:sz w:val="28"/>
          <w:szCs w:val="28"/>
        </w:rPr>
        <w:t>госзакупок</w:t>
      </w:r>
      <w:proofErr w:type="spellEnd"/>
      <w:r w:rsidRPr="00113258">
        <w:rPr>
          <w:sz w:val="28"/>
          <w:szCs w:val="28"/>
        </w:rPr>
        <w:t xml:space="preserve">, чем ныне действующим. Помимо контроля в сфере закупок содержатся еще и правила проведения мониторинга закупок и аудита в сфере </w:t>
      </w:r>
      <w:proofErr w:type="spellStart"/>
      <w:r w:rsidRPr="00113258">
        <w:rPr>
          <w:sz w:val="28"/>
          <w:szCs w:val="28"/>
        </w:rPr>
        <w:t>госзакупок</w:t>
      </w:r>
      <w:proofErr w:type="spellEnd"/>
      <w:r w:rsidRPr="00113258">
        <w:rPr>
          <w:sz w:val="28"/>
          <w:szCs w:val="28"/>
        </w:rPr>
        <w:t>.</w:t>
      </w:r>
    </w:p>
    <w:p w:rsidR="00812D06" w:rsidRDefault="00113258" w:rsidP="00812D0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rStyle w:val="a3"/>
          <w:sz w:val="28"/>
          <w:szCs w:val="28"/>
        </w:rPr>
        <w:t>Осуществление закупок у единственного поставщика</w:t>
      </w:r>
      <w:r w:rsidR="00530E36">
        <w:rPr>
          <w:rStyle w:val="a3"/>
          <w:sz w:val="28"/>
          <w:szCs w:val="28"/>
        </w:rPr>
        <w:t>.</w:t>
      </w:r>
      <w:r w:rsidRPr="00113258">
        <w:rPr>
          <w:rStyle w:val="a3"/>
          <w:sz w:val="28"/>
          <w:szCs w:val="28"/>
        </w:rPr>
        <w:t xml:space="preserve"> </w:t>
      </w:r>
      <w:r w:rsidRPr="00113258">
        <w:rPr>
          <w:sz w:val="28"/>
          <w:szCs w:val="28"/>
        </w:rPr>
        <w:t>Законом предусмотрены новые особенности размещения заказа у единственного поставщика.</w:t>
      </w:r>
      <w:r w:rsidR="00636C9D">
        <w:rPr>
          <w:sz w:val="28"/>
          <w:szCs w:val="28"/>
        </w:rPr>
        <w:t xml:space="preserve"> </w:t>
      </w:r>
      <w:r w:rsidRPr="00113258">
        <w:rPr>
          <w:sz w:val="28"/>
          <w:szCs w:val="28"/>
        </w:rPr>
        <w:t>Исключ</w:t>
      </w:r>
      <w:r w:rsidR="00812D06">
        <w:rPr>
          <w:sz w:val="28"/>
          <w:szCs w:val="28"/>
        </w:rPr>
        <w:t>ено</w:t>
      </w:r>
      <w:r w:rsidRPr="00113258">
        <w:rPr>
          <w:sz w:val="28"/>
          <w:szCs w:val="28"/>
        </w:rPr>
        <w:t xml:space="preserve">  понятие одноименности товаров, работ и услуг в </w:t>
      </w:r>
      <w:proofErr w:type="gramStart"/>
      <w:r w:rsidRPr="00113258">
        <w:rPr>
          <w:sz w:val="28"/>
          <w:szCs w:val="28"/>
        </w:rPr>
        <w:t>связи</w:t>
      </w:r>
      <w:proofErr w:type="gramEnd"/>
      <w:r w:rsidRPr="00113258">
        <w:rPr>
          <w:sz w:val="28"/>
          <w:szCs w:val="28"/>
        </w:rPr>
        <w:t xml:space="preserve"> с чем закупки на сумму, не превышающую 100 000 рублей осуществляются при условии, что совокупный объем таких закупок, не должен превышать</w:t>
      </w:r>
      <w:r w:rsidR="00812D06">
        <w:rPr>
          <w:sz w:val="28"/>
          <w:szCs w:val="28"/>
        </w:rPr>
        <w:t xml:space="preserve"> два миллиона рублей или не должен превышать</w:t>
      </w:r>
      <w:r w:rsidRPr="00113258">
        <w:rPr>
          <w:sz w:val="28"/>
          <w:szCs w:val="28"/>
        </w:rPr>
        <w:t xml:space="preserve"> 5 % от объема средств, предусмотренных на все закупки заказчика в соответствии с планом-графиком, но не более 50 млн. рублей.</w:t>
      </w:r>
      <w:r w:rsidR="00812D06">
        <w:rPr>
          <w:sz w:val="28"/>
          <w:szCs w:val="28"/>
        </w:rPr>
        <w:t xml:space="preserve"> </w:t>
      </w:r>
    </w:p>
    <w:p w:rsidR="00812D06" w:rsidRPr="00113258" w:rsidRDefault="00812D06" w:rsidP="00812D0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Указанные ограничения в части установления предельных значений для определения размера средств не распространяются на закупки, осуществляемые заказчиками для нужд сельских поселений.</w:t>
      </w:r>
    </w:p>
    <w:p w:rsidR="00113258" w:rsidRDefault="00812D06" w:rsidP="00812D06">
      <w:pPr>
        <w:pStyle w:val="rtejustify"/>
        <w:ind w:firstLine="708"/>
        <w:jc w:val="both"/>
        <w:rPr>
          <w:sz w:val="28"/>
          <w:szCs w:val="28"/>
        </w:rPr>
      </w:pPr>
      <w:r w:rsidRPr="00113258">
        <w:rPr>
          <w:sz w:val="28"/>
          <w:szCs w:val="28"/>
        </w:rPr>
        <w:t>Таким образом, отмен</w:t>
      </w:r>
      <w:r>
        <w:rPr>
          <w:sz w:val="28"/>
          <w:szCs w:val="28"/>
        </w:rPr>
        <w:t>ен</w:t>
      </w:r>
      <w:r w:rsidRPr="00113258">
        <w:rPr>
          <w:sz w:val="28"/>
          <w:szCs w:val="28"/>
        </w:rPr>
        <w:t xml:space="preserve"> лимит в 100 тысяч на квартал и привязка к соответствующим группам номенклатуры</w:t>
      </w:r>
      <w:r>
        <w:rPr>
          <w:sz w:val="28"/>
          <w:szCs w:val="28"/>
        </w:rPr>
        <w:t xml:space="preserve"> (одноименность)</w:t>
      </w:r>
      <w:r w:rsidRPr="00113258">
        <w:rPr>
          <w:sz w:val="28"/>
          <w:szCs w:val="28"/>
        </w:rPr>
        <w:t>.</w:t>
      </w:r>
    </w:p>
    <w:p w:rsidR="00686D93" w:rsidRDefault="00400F7C" w:rsidP="00400F7C">
      <w:pPr>
        <w:pStyle w:val="rtejustify"/>
        <w:ind w:firstLine="708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 xml:space="preserve">В приоритет поставлены закупки </w:t>
      </w:r>
      <w:r w:rsidR="00812D06" w:rsidRPr="00812D06">
        <w:rPr>
          <w:rStyle w:val="blk"/>
          <w:sz w:val="28"/>
          <w:szCs w:val="28"/>
        </w:rPr>
        <w:t>товар</w:t>
      </w:r>
      <w:r>
        <w:rPr>
          <w:rStyle w:val="blk"/>
          <w:sz w:val="28"/>
          <w:szCs w:val="28"/>
        </w:rPr>
        <w:t>ов</w:t>
      </w:r>
      <w:r w:rsidR="00812D06" w:rsidRPr="00812D06">
        <w:rPr>
          <w:rStyle w:val="blk"/>
          <w:sz w:val="28"/>
          <w:szCs w:val="28"/>
        </w:rPr>
        <w:t>, работ</w:t>
      </w:r>
      <w:r>
        <w:rPr>
          <w:rStyle w:val="blk"/>
          <w:sz w:val="28"/>
          <w:szCs w:val="28"/>
        </w:rPr>
        <w:t>,</w:t>
      </w:r>
      <w:r w:rsidR="00812D06" w:rsidRPr="00812D06">
        <w:rPr>
          <w:rStyle w:val="blk"/>
          <w:sz w:val="28"/>
          <w:szCs w:val="28"/>
        </w:rPr>
        <w:t xml:space="preserve"> услуг учреждени</w:t>
      </w:r>
      <w:r>
        <w:rPr>
          <w:rStyle w:val="blk"/>
          <w:sz w:val="28"/>
          <w:szCs w:val="28"/>
        </w:rPr>
        <w:t>ями</w:t>
      </w:r>
      <w:r w:rsidR="00812D06" w:rsidRPr="00812D06">
        <w:rPr>
          <w:rStyle w:val="blk"/>
          <w:sz w:val="28"/>
          <w:szCs w:val="28"/>
        </w:rPr>
        <w:t xml:space="preserve"> культуры, образовательн</w:t>
      </w:r>
      <w:r>
        <w:rPr>
          <w:rStyle w:val="blk"/>
          <w:sz w:val="28"/>
          <w:szCs w:val="28"/>
        </w:rPr>
        <w:t>ыми</w:t>
      </w:r>
      <w:r w:rsidR="00812D06" w:rsidRPr="00812D06">
        <w:rPr>
          <w:rStyle w:val="blk"/>
          <w:sz w:val="28"/>
          <w:szCs w:val="28"/>
        </w:rPr>
        <w:t xml:space="preserve"> организацией, физкультурно-спортивной организаци</w:t>
      </w:r>
      <w:r>
        <w:rPr>
          <w:rStyle w:val="blk"/>
          <w:sz w:val="28"/>
          <w:szCs w:val="28"/>
        </w:rPr>
        <w:t xml:space="preserve">ями, для указанных организаций установлен случай осуществления закупок у единственного поставщика </w:t>
      </w:r>
      <w:r w:rsidR="00812D06" w:rsidRPr="00812D06">
        <w:rPr>
          <w:rStyle w:val="blk"/>
          <w:sz w:val="28"/>
          <w:szCs w:val="28"/>
        </w:rPr>
        <w:t xml:space="preserve">на сумму, не превышающую четырехсот тысяч рублей. При этом годовой объем закупок, которые заказчик вправе осуществить на основании настоящего пункта, не должен превышать пятьдесят </w:t>
      </w:r>
      <w:r w:rsidR="00812D06" w:rsidRPr="00812D06">
        <w:rPr>
          <w:rStyle w:val="blk"/>
          <w:sz w:val="28"/>
          <w:szCs w:val="28"/>
        </w:rPr>
        <w:lastRenderedPageBreak/>
        <w:t>процентов совокупного годового объема закупок заказчика и не должен составлять более чем двадцать миллионов рублей</w:t>
      </w:r>
      <w:r>
        <w:rPr>
          <w:rStyle w:val="blk"/>
          <w:sz w:val="28"/>
          <w:szCs w:val="28"/>
        </w:rPr>
        <w:t>.</w:t>
      </w:r>
    </w:p>
    <w:p w:rsidR="00686D93" w:rsidRPr="00686D93" w:rsidRDefault="00400F7C" w:rsidP="00400F7C">
      <w:pPr>
        <w:pStyle w:val="rtejustify"/>
        <w:ind w:firstLine="708"/>
        <w:jc w:val="both"/>
        <w:rPr>
          <w:rFonts w:eastAsia="Calibri"/>
          <w:sz w:val="28"/>
          <w:szCs w:val="28"/>
        </w:rPr>
      </w:pPr>
      <w:r>
        <w:rPr>
          <w:rStyle w:val="blk"/>
          <w:sz w:val="28"/>
          <w:szCs w:val="28"/>
        </w:rPr>
        <w:t xml:space="preserve">В муниципальном образовании </w:t>
      </w:r>
      <w:proofErr w:type="spellStart"/>
      <w:r>
        <w:rPr>
          <w:rStyle w:val="blk"/>
          <w:sz w:val="28"/>
          <w:szCs w:val="28"/>
        </w:rPr>
        <w:t>Гулькевичский</w:t>
      </w:r>
      <w:proofErr w:type="spellEnd"/>
      <w:r>
        <w:rPr>
          <w:rStyle w:val="blk"/>
          <w:sz w:val="28"/>
          <w:szCs w:val="28"/>
        </w:rPr>
        <w:t xml:space="preserve"> район о</w:t>
      </w:r>
      <w:r w:rsidR="00686D93" w:rsidRPr="00686D93">
        <w:rPr>
          <w:rFonts w:eastAsia="Calibri"/>
          <w:sz w:val="28"/>
          <w:szCs w:val="28"/>
        </w:rPr>
        <w:t>предел</w:t>
      </w:r>
      <w:r>
        <w:rPr>
          <w:rFonts w:eastAsia="Calibri"/>
          <w:sz w:val="28"/>
          <w:szCs w:val="28"/>
        </w:rPr>
        <w:t>ен</w:t>
      </w:r>
      <w:r w:rsidR="00686D93" w:rsidRPr="00686D93">
        <w:rPr>
          <w:rFonts w:eastAsia="Calibri"/>
          <w:sz w:val="28"/>
          <w:szCs w:val="28"/>
        </w:rPr>
        <w:t xml:space="preserve"> уполномоченны</w:t>
      </w:r>
      <w:r w:rsidR="00636C9D">
        <w:rPr>
          <w:rFonts w:eastAsia="Calibri"/>
          <w:sz w:val="28"/>
          <w:szCs w:val="28"/>
        </w:rPr>
        <w:t>й</w:t>
      </w:r>
      <w:r w:rsidR="00686D93" w:rsidRPr="00686D93">
        <w:rPr>
          <w:rFonts w:eastAsia="Calibri"/>
          <w:sz w:val="28"/>
          <w:szCs w:val="28"/>
        </w:rPr>
        <w:t xml:space="preserve"> орган на определение поставщиков (подрядчиков, исполнителей) для заказчиков, заключающих контракты от имени муниципального образования </w:t>
      </w:r>
      <w:proofErr w:type="spellStart"/>
      <w:r w:rsidR="00686D93" w:rsidRPr="00686D93">
        <w:rPr>
          <w:rFonts w:eastAsia="Calibri"/>
          <w:sz w:val="28"/>
          <w:szCs w:val="28"/>
        </w:rPr>
        <w:t>Гульк</w:t>
      </w:r>
      <w:r>
        <w:rPr>
          <w:rFonts w:eastAsia="Calibri"/>
          <w:sz w:val="28"/>
          <w:szCs w:val="28"/>
        </w:rPr>
        <w:t>евичский</w:t>
      </w:r>
      <w:proofErr w:type="spellEnd"/>
      <w:r>
        <w:rPr>
          <w:rFonts w:eastAsia="Calibri"/>
          <w:sz w:val="28"/>
          <w:szCs w:val="28"/>
        </w:rPr>
        <w:t xml:space="preserve"> район</w:t>
      </w:r>
      <w:r w:rsidR="00636C9D">
        <w:rPr>
          <w:rFonts w:eastAsia="Calibri"/>
          <w:sz w:val="28"/>
          <w:szCs w:val="28"/>
        </w:rPr>
        <w:t xml:space="preserve"> -</w:t>
      </w:r>
      <w:r>
        <w:rPr>
          <w:rFonts w:eastAsia="Calibri"/>
          <w:sz w:val="28"/>
          <w:szCs w:val="28"/>
        </w:rPr>
        <w:t xml:space="preserve"> администрация</w:t>
      </w:r>
      <w:r w:rsidR="00686D93" w:rsidRPr="00686D93">
        <w:rPr>
          <w:rFonts w:eastAsia="Calibri"/>
          <w:sz w:val="28"/>
          <w:szCs w:val="28"/>
        </w:rPr>
        <w:t xml:space="preserve"> муниципального образования </w:t>
      </w:r>
      <w:proofErr w:type="spellStart"/>
      <w:r w:rsidR="00686D93" w:rsidRPr="00686D93">
        <w:rPr>
          <w:rFonts w:eastAsia="Calibri"/>
          <w:sz w:val="28"/>
          <w:szCs w:val="28"/>
        </w:rPr>
        <w:t>Гулькевичский</w:t>
      </w:r>
      <w:proofErr w:type="spellEnd"/>
      <w:r w:rsidR="00686D93" w:rsidRPr="00686D93">
        <w:rPr>
          <w:rFonts w:eastAsia="Calibri"/>
          <w:sz w:val="28"/>
          <w:szCs w:val="28"/>
        </w:rPr>
        <w:t xml:space="preserve"> район, за исключением полномочий на обоснование закупок, определение условий контракта, в том числе на определение начальной (максимальной) цены контракта, и подписание контракта.</w:t>
      </w:r>
    </w:p>
    <w:p w:rsidR="00686D93" w:rsidRPr="00686D93" w:rsidRDefault="00686D93" w:rsidP="00686D93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D93">
        <w:rPr>
          <w:rFonts w:ascii="Times New Roman" w:eastAsia="Calibri" w:hAnsi="Times New Roman" w:cs="Times New Roman"/>
          <w:sz w:val="28"/>
          <w:szCs w:val="28"/>
        </w:rPr>
        <w:t xml:space="preserve">Функции уполномоченного органа на определение поставщиков (подрядчиков, исполнителей) для заказчиков, предусмотренные действующим законодательством, осуществляет отдел </w:t>
      </w:r>
      <w:r w:rsidR="00400F7C">
        <w:rPr>
          <w:rFonts w:ascii="Times New Roman" w:eastAsia="Calibri" w:hAnsi="Times New Roman" w:cs="Times New Roman"/>
          <w:sz w:val="28"/>
          <w:szCs w:val="28"/>
        </w:rPr>
        <w:t>закупок</w:t>
      </w:r>
      <w:r w:rsidRPr="00686D9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Pr="00686D93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686D93">
        <w:rPr>
          <w:rFonts w:ascii="Times New Roman" w:eastAsia="Calibri" w:hAnsi="Times New Roman" w:cs="Times New Roman"/>
          <w:sz w:val="28"/>
          <w:szCs w:val="28"/>
        </w:rPr>
        <w:t xml:space="preserve"> район.</w:t>
      </w:r>
    </w:p>
    <w:p w:rsidR="00686D93" w:rsidRDefault="00686D93" w:rsidP="00400F7C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D93">
        <w:rPr>
          <w:rFonts w:ascii="Times New Roman" w:eastAsia="Calibri" w:hAnsi="Times New Roman" w:cs="Times New Roman"/>
          <w:sz w:val="28"/>
          <w:szCs w:val="28"/>
        </w:rPr>
        <w:t>Заказчики самостоятельно без привлечения уполномоченного органа осуществляют закупку товаров, работ, услуг для обеспечения муниципальных нужд при начальной цене контракта, не превышающей 500 тыс</w:t>
      </w:r>
      <w:proofErr w:type="gramStart"/>
      <w:r w:rsidRPr="00686D9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86D93">
        <w:rPr>
          <w:rFonts w:ascii="Times New Roman" w:eastAsia="Calibri" w:hAnsi="Times New Roman" w:cs="Times New Roman"/>
          <w:sz w:val="28"/>
          <w:szCs w:val="28"/>
        </w:rPr>
        <w:t>ублей, а также самостоятельно осуществляют закупки у единственного поставщика (подрядчика, исполнителя).</w:t>
      </w:r>
    </w:p>
    <w:p w:rsidR="00400F7C" w:rsidRPr="00113258" w:rsidRDefault="00400F7C" w:rsidP="00400F7C">
      <w:pPr>
        <w:ind w:firstLine="720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Также функции уполномоченного органа осуществляет МКУ «ЦБ УО МО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район». (</w:t>
      </w:r>
      <w:r w:rsidRPr="00686D93">
        <w:rPr>
          <w:rFonts w:ascii="Times New Roman" w:eastAsia="Calibri" w:hAnsi="Times New Roman" w:cs="Times New Roman"/>
          <w:sz w:val="28"/>
          <w:szCs w:val="28"/>
        </w:rPr>
        <w:t>Функции уполномоченного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6D93">
        <w:rPr>
          <w:rFonts w:ascii="Times New Roman" w:eastAsia="Calibri" w:hAnsi="Times New Roman" w:cs="Times New Roman"/>
          <w:sz w:val="28"/>
          <w:szCs w:val="28"/>
        </w:rPr>
        <w:t xml:space="preserve">осуществляет отдел </w:t>
      </w:r>
      <w:r>
        <w:rPr>
          <w:rFonts w:ascii="Times New Roman" w:eastAsia="Calibri" w:hAnsi="Times New Roman" w:cs="Times New Roman"/>
          <w:sz w:val="28"/>
          <w:szCs w:val="28"/>
        </w:rPr>
        <w:t>закупок</w:t>
      </w:r>
      <w:r w:rsidRPr="00400F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МКУ «ЦБ УО МО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район»). Учреждения образования </w:t>
      </w:r>
      <w:r w:rsidRPr="00686D93">
        <w:rPr>
          <w:rFonts w:ascii="Times New Roman" w:eastAsia="Calibri" w:hAnsi="Times New Roman" w:cs="Times New Roman"/>
          <w:sz w:val="28"/>
          <w:szCs w:val="28"/>
        </w:rPr>
        <w:t>осуществляют закупку товаров, работ, услуг для обеспечения муниципальных нужд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через уполномоченный орган </w:t>
      </w:r>
      <w:r w:rsidRPr="00686D93">
        <w:rPr>
          <w:rFonts w:ascii="Times New Roman" w:eastAsia="Calibri" w:hAnsi="Times New Roman" w:cs="Times New Roman"/>
          <w:sz w:val="28"/>
          <w:szCs w:val="28"/>
        </w:rPr>
        <w:t>при начальной цене контракта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Pr="00686D93">
        <w:rPr>
          <w:rFonts w:ascii="Times New Roman" w:eastAsia="Calibri" w:hAnsi="Times New Roman" w:cs="Times New Roman"/>
          <w:sz w:val="28"/>
          <w:szCs w:val="28"/>
        </w:rPr>
        <w:t xml:space="preserve"> 500 тыс</w:t>
      </w:r>
      <w:proofErr w:type="gramStart"/>
      <w:r w:rsidRPr="00686D9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686D93">
        <w:rPr>
          <w:rFonts w:ascii="Times New Roman" w:eastAsia="Calibri" w:hAnsi="Times New Roman" w:cs="Times New Roman"/>
          <w:sz w:val="28"/>
          <w:szCs w:val="28"/>
        </w:rPr>
        <w:t>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86D93" w:rsidRPr="00686D93" w:rsidRDefault="001457E3" w:rsidP="00686D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660F2">
        <w:rPr>
          <w:rFonts w:ascii="Times New Roman" w:hAnsi="Times New Roman" w:cs="Times New Roman"/>
          <w:sz w:val="28"/>
          <w:szCs w:val="28"/>
        </w:rPr>
        <w:t>закупках,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осуществляемых 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660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686D93" w:rsidRPr="00686D93">
        <w:rPr>
          <w:rFonts w:ascii="Times New Roman" w:hAnsi="Times New Roman" w:cs="Times New Roman"/>
          <w:sz w:val="28"/>
          <w:szCs w:val="28"/>
        </w:rPr>
        <w:t>ктив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686D93" w:rsidRPr="00686D93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вуют</w:t>
      </w:r>
      <w:r w:rsidR="00686D93" w:rsidRPr="00686D93">
        <w:rPr>
          <w:rFonts w:ascii="Times New Roman" w:hAnsi="Times New Roman" w:cs="Times New Roman"/>
          <w:sz w:val="28"/>
          <w:szCs w:val="28"/>
        </w:rPr>
        <w:t xml:space="preserve"> 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86D93" w:rsidRPr="00686D93">
        <w:rPr>
          <w:rFonts w:ascii="Times New Roman" w:hAnsi="Times New Roman" w:cs="Times New Roman"/>
          <w:sz w:val="28"/>
          <w:szCs w:val="28"/>
        </w:rPr>
        <w:t xml:space="preserve">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60F2">
        <w:rPr>
          <w:rFonts w:ascii="Times New Roman" w:hAnsi="Times New Roman" w:cs="Times New Roman"/>
          <w:sz w:val="28"/>
          <w:szCs w:val="28"/>
        </w:rPr>
        <w:t xml:space="preserve"> Осуществление закупок с приоритетом для СМП </w:t>
      </w:r>
      <w:r w:rsidR="00686D93" w:rsidRPr="00686D93">
        <w:rPr>
          <w:rFonts w:ascii="Times New Roman" w:hAnsi="Times New Roman" w:cs="Times New Roman"/>
          <w:sz w:val="28"/>
          <w:szCs w:val="28"/>
        </w:rPr>
        <w:t xml:space="preserve"> является одним из наиболее перспективных направлений работы администрации муниципального образования </w:t>
      </w:r>
      <w:proofErr w:type="spellStart"/>
      <w:r w:rsidR="00686D93" w:rsidRPr="00686D9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86D93" w:rsidRPr="00686D93">
        <w:rPr>
          <w:rFonts w:ascii="Times New Roman" w:hAnsi="Times New Roman" w:cs="Times New Roman"/>
          <w:sz w:val="28"/>
          <w:szCs w:val="28"/>
        </w:rPr>
        <w:t xml:space="preserve"> район  по поддержке предпринимательства.    </w:t>
      </w:r>
    </w:p>
    <w:p w:rsidR="00686D93" w:rsidRPr="00686D93" w:rsidRDefault="00686D93" w:rsidP="00686D93">
      <w:pPr>
        <w:jc w:val="both"/>
        <w:rPr>
          <w:rFonts w:ascii="Times New Roman" w:hAnsi="Times New Roman" w:cs="Times New Roman"/>
          <w:sz w:val="28"/>
          <w:szCs w:val="28"/>
        </w:rPr>
      </w:pPr>
      <w:r w:rsidRPr="00686D93">
        <w:rPr>
          <w:rFonts w:ascii="Times New Roman" w:hAnsi="Times New Roman" w:cs="Times New Roman"/>
          <w:sz w:val="28"/>
          <w:szCs w:val="28"/>
        </w:rPr>
        <w:t> </w:t>
      </w:r>
      <w:r w:rsidRPr="00686D93">
        <w:rPr>
          <w:rFonts w:ascii="Times New Roman" w:hAnsi="Times New Roman" w:cs="Times New Roman"/>
          <w:sz w:val="28"/>
          <w:szCs w:val="28"/>
        </w:rPr>
        <w:tab/>
        <w:t xml:space="preserve">В сфере </w:t>
      </w:r>
      <w:proofErr w:type="spellStart"/>
      <w:r w:rsidRPr="00686D93"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 w:rsidRPr="00686D93">
        <w:rPr>
          <w:rFonts w:ascii="Times New Roman" w:hAnsi="Times New Roman" w:cs="Times New Roman"/>
          <w:sz w:val="28"/>
          <w:szCs w:val="28"/>
        </w:rPr>
        <w:t xml:space="preserve"> для субъектов малого предпринимательства есть свои привилегии. Они заключаются в следующем: государственные и муниципальные заказчики обязаны </w:t>
      </w:r>
      <w:r w:rsidR="008660F2">
        <w:rPr>
          <w:rFonts w:ascii="Times New Roman" w:hAnsi="Times New Roman" w:cs="Times New Roman"/>
          <w:sz w:val="28"/>
          <w:szCs w:val="28"/>
        </w:rPr>
        <w:t xml:space="preserve">осуществлять закупки у СМП, СОНКО в объеме не </w:t>
      </w:r>
      <w:r w:rsidRPr="00686D93">
        <w:rPr>
          <w:rFonts w:ascii="Times New Roman" w:hAnsi="Times New Roman" w:cs="Times New Roman"/>
          <w:sz w:val="28"/>
          <w:szCs w:val="28"/>
        </w:rPr>
        <w:t>менее 1</w:t>
      </w:r>
      <w:r w:rsidR="008660F2">
        <w:rPr>
          <w:rFonts w:ascii="Times New Roman" w:hAnsi="Times New Roman" w:cs="Times New Roman"/>
          <w:sz w:val="28"/>
          <w:szCs w:val="28"/>
        </w:rPr>
        <w:t>5</w:t>
      </w:r>
      <w:r w:rsidRPr="00686D93">
        <w:rPr>
          <w:rFonts w:ascii="Times New Roman" w:hAnsi="Times New Roman" w:cs="Times New Roman"/>
          <w:sz w:val="28"/>
          <w:szCs w:val="28"/>
        </w:rPr>
        <w:t xml:space="preserve">% </w:t>
      </w:r>
      <w:r w:rsidR="008660F2">
        <w:rPr>
          <w:rFonts w:ascii="Times New Roman" w:hAnsi="Times New Roman" w:cs="Times New Roman"/>
          <w:sz w:val="28"/>
          <w:szCs w:val="28"/>
        </w:rPr>
        <w:t>совокупного</w:t>
      </w:r>
      <w:r w:rsidRPr="00686D93">
        <w:rPr>
          <w:rFonts w:ascii="Times New Roman" w:hAnsi="Times New Roman" w:cs="Times New Roman"/>
          <w:sz w:val="28"/>
          <w:szCs w:val="28"/>
        </w:rPr>
        <w:t xml:space="preserve"> годового объема </w:t>
      </w:r>
      <w:r w:rsidR="008660F2">
        <w:rPr>
          <w:rFonts w:ascii="Times New Roman" w:hAnsi="Times New Roman" w:cs="Times New Roman"/>
          <w:sz w:val="28"/>
          <w:szCs w:val="28"/>
        </w:rPr>
        <w:t xml:space="preserve">закупок, рассчитанного с учетом статьи 30 Федерального закона №44-ФЗ. </w:t>
      </w:r>
      <w:r w:rsidR="00DE64F9">
        <w:rPr>
          <w:rFonts w:ascii="Times New Roman" w:hAnsi="Times New Roman" w:cs="Times New Roman"/>
          <w:sz w:val="28"/>
          <w:szCs w:val="28"/>
        </w:rPr>
        <w:t>У</w:t>
      </w:r>
      <w:r w:rsidRPr="00686D93">
        <w:rPr>
          <w:rFonts w:ascii="Times New Roman" w:hAnsi="Times New Roman" w:cs="Times New Roman"/>
          <w:sz w:val="28"/>
          <w:szCs w:val="28"/>
        </w:rPr>
        <w:t>ча</w:t>
      </w:r>
      <w:r w:rsidR="00DE64F9">
        <w:rPr>
          <w:rFonts w:ascii="Times New Roman" w:hAnsi="Times New Roman" w:cs="Times New Roman"/>
          <w:sz w:val="28"/>
          <w:szCs w:val="28"/>
        </w:rPr>
        <w:t>стниками в таких закупках могут быть только</w:t>
      </w:r>
      <w:r w:rsidRPr="00686D93">
        <w:rPr>
          <w:rFonts w:ascii="Times New Roman" w:hAnsi="Times New Roman" w:cs="Times New Roman"/>
          <w:sz w:val="28"/>
          <w:szCs w:val="28"/>
        </w:rPr>
        <w:t xml:space="preserve"> такие субъекты</w:t>
      </w:r>
      <w:r w:rsidR="00DE64F9" w:rsidRPr="00DE64F9">
        <w:rPr>
          <w:rFonts w:ascii="Times New Roman" w:hAnsi="Times New Roman" w:cs="Times New Roman"/>
          <w:sz w:val="28"/>
          <w:szCs w:val="28"/>
        </w:rPr>
        <w:t xml:space="preserve"> </w:t>
      </w:r>
      <w:r w:rsidR="00DE64F9">
        <w:rPr>
          <w:rFonts w:ascii="Times New Roman" w:hAnsi="Times New Roman" w:cs="Times New Roman"/>
          <w:sz w:val="28"/>
          <w:szCs w:val="28"/>
        </w:rPr>
        <w:t>(СМП, СОНКО)</w:t>
      </w:r>
      <w:r w:rsidRPr="00686D93">
        <w:rPr>
          <w:rFonts w:ascii="Times New Roman" w:hAnsi="Times New Roman" w:cs="Times New Roman"/>
          <w:sz w:val="28"/>
          <w:szCs w:val="28"/>
        </w:rPr>
        <w:t>.</w:t>
      </w:r>
    </w:p>
    <w:p w:rsidR="00686D93" w:rsidRPr="00686D93" w:rsidRDefault="00686D93" w:rsidP="00686D9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86D93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соответствии со статьей 4 Федерального закона от 24 июля 2007г. № 209-ФЗ «О развитии малого и среднего предпринимательства Российской Федерации»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686D93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юридического лица (далее – индивидуальные предприниматели), крестьянские (фермерские) хозяйства, соответствующие следующим условиям:</w:t>
      </w:r>
    </w:p>
    <w:p w:rsidR="00530E36" w:rsidRDefault="00530E36" w:rsidP="00530E3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36C9D" w:rsidRPr="00530E36">
        <w:rPr>
          <w:rFonts w:ascii="Times New Roman" w:hAnsi="Times New Roman" w:cs="Times New Roman"/>
          <w:sz w:val="28"/>
          <w:szCs w:val="28"/>
        </w:rPr>
        <w:t xml:space="preserve">суммарная доля участия РФ, субъектов РФ,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не превышает 25%, а суммарная доля участия иностранных юридических лиц и (или) юридических лиц, не являющихся субъектами малого и среднего предпринимательства, не превышает 49%; </w:t>
      </w:r>
      <w:proofErr w:type="gramEnd"/>
    </w:p>
    <w:p w:rsidR="00530E36" w:rsidRPr="00530E36" w:rsidRDefault="00636C9D" w:rsidP="00530E36">
      <w:pPr>
        <w:jc w:val="both"/>
        <w:rPr>
          <w:rFonts w:ascii="Times New Roman" w:hAnsi="Times New Roman" w:cs="Times New Roman"/>
          <w:sz w:val="28"/>
          <w:szCs w:val="28"/>
        </w:rPr>
      </w:pPr>
      <w:r w:rsidRPr="00530E36">
        <w:rPr>
          <w:rFonts w:ascii="Times New Roman" w:hAnsi="Times New Roman" w:cs="Times New Roman"/>
          <w:sz w:val="28"/>
          <w:szCs w:val="28"/>
        </w:rPr>
        <w:t>2) среднесписочная численность работников за предшествующий календарный год составляет до 100 человек;</w:t>
      </w:r>
    </w:p>
    <w:p w:rsidR="00636C9D" w:rsidRPr="00530E36" w:rsidRDefault="00636C9D" w:rsidP="00530E36">
      <w:pPr>
        <w:jc w:val="both"/>
        <w:rPr>
          <w:rFonts w:ascii="Times New Roman" w:hAnsi="Times New Roman" w:cs="Times New Roman"/>
          <w:sz w:val="28"/>
          <w:szCs w:val="28"/>
        </w:rPr>
      </w:pPr>
      <w:r w:rsidRPr="00530E36">
        <w:rPr>
          <w:rFonts w:ascii="Times New Roman" w:hAnsi="Times New Roman" w:cs="Times New Roman"/>
          <w:sz w:val="28"/>
          <w:szCs w:val="28"/>
        </w:rPr>
        <w:t>3) доход, полученный от осуществления предпринимательской деятельности за предшествующий календарный год, не превышает 800 млн. руб.</w:t>
      </w:r>
      <w:r w:rsidR="00686D93" w:rsidRPr="00530E36">
        <w:rPr>
          <w:rFonts w:ascii="Times New Roman" w:hAnsi="Times New Roman" w:cs="Times New Roman"/>
          <w:sz w:val="28"/>
          <w:szCs w:val="28"/>
        </w:rPr>
        <w:t> </w:t>
      </w:r>
    </w:p>
    <w:p w:rsidR="00686D93" w:rsidRPr="00530E36" w:rsidRDefault="00DE64F9" w:rsidP="00530E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E36">
        <w:rPr>
          <w:rFonts w:ascii="Times New Roman" w:hAnsi="Times New Roman" w:cs="Times New Roman"/>
          <w:sz w:val="28"/>
          <w:szCs w:val="28"/>
        </w:rPr>
        <w:t>Как и где можно</w:t>
      </w:r>
      <w:r w:rsidR="00686D93" w:rsidRPr="00530E36">
        <w:rPr>
          <w:rFonts w:ascii="Times New Roman" w:hAnsi="Times New Roman" w:cs="Times New Roman"/>
          <w:sz w:val="28"/>
          <w:szCs w:val="28"/>
        </w:rPr>
        <w:t xml:space="preserve"> узнать о проводимых </w:t>
      </w:r>
      <w:proofErr w:type="spellStart"/>
      <w:r w:rsidR="00686D93" w:rsidRPr="00530E36">
        <w:rPr>
          <w:rFonts w:ascii="Times New Roman" w:hAnsi="Times New Roman" w:cs="Times New Roman"/>
          <w:sz w:val="28"/>
          <w:szCs w:val="28"/>
        </w:rPr>
        <w:t>госзакупках</w:t>
      </w:r>
      <w:proofErr w:type="spellEnd"/>
      <w:r w:rsidR="00686D93" w:rsidRPr="00530E36">
        <w:rPr>
          <w:rFonts w:ascii="Times New Roman" w:hAnsi="Times New Roman" w:cs="Times New Roman"/>
          <w:sz w:val="28"/>
          <w:szCs w:val="28"/>
        </w:rPr>
        <w:t xml:space="preserve"> и принять в них участие. </w:t>
      </w:r>
      <w:proofErr w:type="gramEnd"/>
    </w:p>
    <w:p w:rsidR="00686D93" w:rsidRPr="00686D93" w:rsidRDefault="00530E36" w:rsidP="00DE6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="00686D93" w:rsidRPr="00686D93">
        <w:rPr>
          <w:rFonts w:ascii="Times New Roman" w:hAnsi="Times New Roman" w:cs="Times New Roman"/>
          <w:sz w:val="28"/>
          <w:szCs w:val="28"/>
        </w:rPr>
        <w:t xml:space="preserve">С 1 января </w:t>
      </w:r>
      <w:smartTag w:uri="urn:schemas-microsoft-com:office:smarttags" w:element="metricconverter">
        <w:smartTagPr>
          <w:attr w:name="ProductID" w:val="2011 г"/>
        </w:smartTagPr>
        <w:r w:rsidR="00686D93" w:rsidRPr="00686D93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="00686D93" w:rsidRPr="00686D93">
        <w:rPr>
          <w:rFonts w:ascii="Times New Roman" w:hAnsi="Times New Roman" w:cs="Times New Roman"/>
          <w:sz w:val="28"/>
          <w:szCs w:val="28"/>
        </w:rPr>
        <w:t xml:space="preserve">. все заказы размещаются </w:t>
      </w:r>
      <w:r w:rsidR="00DE64F9">
        <w:rPr>
          <w:rFonts w:ascii="Times New Roman" w:hAnsi="Times New Roman" w:cs="Times New Roman"/>
          <w:sz w:val="28"/>
          <w:szCs w:val="28"/>
        </w:rPr>
        <w:t>в единой информационной системе</w:t>
      </w:r>
      <w:r w:rsidR="00686D93" w:rsidRPr="00686D9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86D93" w:rsidRPr="00686D93">
          <w:rPr>
            <w:rStyle w:val="a5"/>
            <w:rFonts w:ascii="Times New Roman" w:hAnsi="Times New Roman" w:cs="Times New Roman"/>
            <w:sz w:val="28"/>
            <w:szCs w:val="28"/>
          </w:rPr>
          <w:t>www.zakupki.gov.ru</w:t>
        </w:r>
      </w:hyperlink>
      <w:r w:rsidR="00686D93" w:rsidRPr="00686D93">
        <w:rPr>
          <w:rFonts w:ascii="Times New Roman" w:hAnsi="Times New Roman" w:cs="Times New Roman"/>
          <w:sz w:val="28"/>
          <w:szCs w:val="28"/>
        </w:rPr>
        <w:t xml:space="preserve"> (далее – Официальный сайт), который с указанного срока является единственным официальным источником для размещения информации о размещении заказов в соответствии с Федеральным законом № </w:t>
      </w:r>
      <w:r w:rsidR="00DE64F9">
        <w:rPr>
          <w:rFonts w:ascii="Times New Roman" w:hAnsi="Times New Roman" w:cs="Times New Roman"/>
          <w:sz w:val="28"/>
          <w:szCs w:val="28"/>
        </w:rPr>
        <w:t>4</w:t>
      </w:r>
      <w:r w:rsidR="00686D93" w:rsidRPr="00686D93">
        <w:rPr>
          <w:rFonts w:ascii="Times New Roman" w:hAnsi="Times New Roman" w:cs="Times New Roman"/>
          <w:sz w:val="28"/>
          <w:szCs w:val="28"/>
        </w:rPr>
        <w:t>4-ФЗ</w:t>
      </w:r>
      <w:proofErr w:type="gramStart"/>
      <w:r w:rsidR="00DE64F9">
        <w:rPr>
          <w:rFonts w:ascii="Times New Roman" w:hAnsi="Times New Roman" w:cs="Times New Roman"/>
          <w:sz w:val="28"/>
          <w:szCs w:val="28"/>
        </w:rPr>
        <w:t xml:space="preserve"> </w:t>
      </w:r>
      <w:r w:rsidR="00686D93" w:rsidRPr="00686D9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686D93" w:rsidRPr="00686D93">
        <w:rPr>
          <w:rFonts w:ascii="Times New Roman" w:hAnsi="Times New Roman" w:cs="Times New Roman"/>
          <w:sz w:val="28"/>
          <w:szCs w:val="28"/>
        </w:rPr>
        <w:t>ся информация по процедурам, размещ</w:t>
      </w:r>
      <w:r w:rsidR="00DE64F9">
        <w:rPr>
          <w:rFonts w:ascii="Times New Roman" w:hAnsi="Times New Roman" w:cs="Times New Roman"/>
          <w:sz w:val="28"/>
          <w:szCs w:val="28"/>
        </w:rPr>
        <w:t xml:space="preserve">ена </w:t>
      </w:r>
      <w:r w:rsidR="00686D93" w:rsidRPr="00686D93">
        <w:rPr>
          <w:rFonts w:ascii="Times New Roman" w:hAnsi="Times New Roman" w:cs="Times New Roman"/>
          <w:sz w:val="28"/>
          <w:szCs w:val="28"/>
        </w:rPr>
        <w:t>только на Официальном сайте.</w:t>
      </w:r>
    </w:p>
    <w:p w:rsidR="00686D93" w:rsidRPr="00686D93" w:rsidRDefault="00DE64F9" w:rsidP="00686D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Электронные аукционы проводятся на </w:t>
      </w:r>
      <w:r w:rsidR="00686D93" w:rsidRPr="00686D93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E33206">
        <w:rPr>
          <w:rFonts w:ascii="Times New Roman" w:hAnsi="Times New Roman" w:cs="Times New Roman"/>
          <w:sz w:val="28"/>
          <w:szCs w:val="28"/>
        </w:rPr>
        <w:t>шести</w:t>
      </w:r>
      <w:r w:rsidR="00686D93" w:rsidRPr="00686D93">
        <w:rPr>
          <w:rFonts w:ascii="Times New Roman" w:hAnsi="Times New Roman" w:cs="Times New Roman"/>
          <w:sz w:val="28"/>
          <w:szCs w:val="28"/>
        </w:rPr>
        <w:t xml:space="preserve"> выбранных электронных площадках:</w:t>
      </w:r>
    </w:p>
    <w:p w:rsidR="00686D93" w:rsidRPr="00686D93" w:rsidRDefault="00686D93" w:rsidP="00686D93">
      <w:pPr>
        <w:jc w:val="both"/>
        <w:rPr>
          <w:rFonts w:ascii="Times New Roman" w:hAnsi="Times New Roman" w:cs="Times New Roman"/>
          <w:sz w:val="28"/>
          <w:szCs w:val="28"/>
        </w:rPr>
      </w:pPr>
      <w:r w:rsidRPr="00686D93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Pr="00686D93">
        <w:rPr>
          <w:rFonts w:ascii="Times New Roman" w:hAnsi="Times New Roman" w:cs="Times New Roman"/>
          <w:sz w:val="28"/>
          <w:szCs w:val="28"/>
        </w:rPr>
        <w:t>Сбербанк-АСТ</w:t>
      </w:r>
      <w:proofErr w:type="spellEnd"/>
      <w:r w:rsidRPr="00686D93">
        <w:rPr>
          <w:rFonts w:ascii="Times New Roman" w:hAnsi="Times New Roman" w:cs="Times New Roman"/>
          <w:sz w:val="28"/>
          <w:szCs w:val="28"/>
        </w:rPr>
        <w:t xml:space="preserve">»  </w:t>
      </w:r>
      <w:hyperlink r:id="rId7" w:history="1">
        <w:r w:rsidRPr="00686D93">
          <w:rPr>
            <w:rStyle w:val="a5"/>
            <w:rFonts w:ascii="Times New Roman" w:hAnsi="Times New Roman" w:cs="Times New Roman"/>
            <w:sz w:val="28"/>
            <w:szCs w:val="28"/>
          </w:rPr>
          <w:t>http://www.sberbank-ast.ru</w:t>
        </w:r>
      </w:hyperlink>
      <w:r w:rsidRPr="00686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D93" w:rsidRPr="00686D93" w:rsidRDefault="00686D93" w:rsidP="00686D93">
      <w:pPr>
        <w:jc w:val="both"/>
        <w:rPr>
          <w:rFonts w:ascii="Times New Roman" w:hAnsi="Times New Roman" w:cs="Times New Roman"/>
          <w:sz w:val="28"/>
          <w:szCs w:val="28"/>
        </w:rPr>
      </w:pPr>
      <w:r w:rsidRPr="00686D93">
        <w:rPr>
          <w:rFonts w:ascii="Times New Roman" w:hAnsi="Times New Roman" w:cs="Times New Roman"/>
          <w:sz w:val="28"/>
          <w:szCs w:val="28"/>
        </w:rPr>
        <w:t xml:space="preserve">ОАО «ЕЭТП» </w:t>
      </w:r>
      <w:hyperlink r:id="rId8" w:history="1">
        <w:r w:rsidRPr="00686D93">
          <w:rPr>
            <w:rStyle w:val="a5"/>
            <w:rFonts w:ascii="Times New Roman" w:hAnsi="Times New Roman" w:cs="Times New Roman"/>
            <w:sz w:val="28"/>
            <w:szCs w:val="28"/>
          </w:rPr>
          <w:t>http://www.etp.roseltorg.ru</w:t>
        </w:r>
      </w:hyperlink>
      <w:r w:rsidRPr="00686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D93" w:rsidRDefault="00686D93" w:rsidP="00686D93">
      <w:pPr>
        <w:jc w:val="both"/>
        <w:rPr>
          <w:rFonts w:ascii="Times New Roman" w:hAnsi="Times New Roman" w:cs="Times New Roman"/>
          <w:sz w:val="28"/>
          <w:szCs w:val="28"/>
        </w:rPr>
      </w:pPr>
      <w:r w:rsidRPr="00686D93">
        <w:rPr>
          <w:rFonts w:ascii="Times New Roman" w:hAnsi="Times New Roman" w:cs="Times New Roman"/>
          <w:sz w:val="28"/>
          <w:szCs w:val="28"/>
        </w:rPr>
        <w:t xml:space="preserve">ГУП «АГЗРТ» </w:t>
      </w:r>
      <w:hyperlink r:id="rId9" w:history="1">
        <w:r w:rsidRPr="00686D93">
          <w:rPr>
            <w:rStyle w:val="a5"/>
            <w:rFonts w:ascii="Times New Roman" w:hAnsi="Times New Roman" w:cs="Times New Roman"/>
            <w:sz w:val="28"/>
            <w:szCs w:val="28"/>
          </w:rPr>
          <w:t>http://www.etp.zakazrf.ru</w:t>
        </w:r>
      </w:hyperlink>
      <w:r w:rsidRPr="00686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D93" w:rsidRPr="00686D93" w:rsidRDefault="00686D93" w:rsidP="00686D93">
      <w:pPr>
        <w:jc w:val="both"/>
        <w:rPr>
          <w:rFonts w:ascii="Times New Roman" w:hAnsi="Times New Roman" w:cs="Times New Roman"/>
          <w:sz w:val="28"/>
          <w:szCs w:val="28"/>
        </w:rPr>
      </w:pPr>
      <w:r w:rsidRPr="00686D93">
        <w:rPr>
          <w:rFonts w:ascii="Times New Roman" w:hAnsi="Times New Roman" w:cs="Times New Roman"/>
          <w:sz w:val="28"/>
          <w:szCs w:val="28"/>
        </w:rPr>
        <w:lastRenderedPageBreak/>
        <w:t xml:space="preserve">ЗАО «ММВБ-ИТ» </w:t>
      </w:r>
      <w:hyperlink r:id="rId10" w:history="1">
        <w:r w:rsidR="00DE64F9" w:rsidRPr="002D1ABA">
          <w:rPr>
            <w:rStyle w:val="a5"/>
            <w:rFonts w:ascii="Times New Roman" w:hAnsi="Times New Roman" w:cs="Times New Roman"/>
            <w:sz w:val="28"/>
            <w:szCs w:val="28"/>
          </w:rPr>
          <w:t>http://www.etp-micex.ru</w:t>
        </w:r>
      </w:hyperlink>
      <w:r w:rsidRPr="00686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6D93" w:rsidRDefault="00686D93" w:rsidP="00686D93">
      <w:pPr>
        <w:jc w:val="both"/>
        <w:rPr>
          <w:rFonts w:ascii="Times New Roman" w:hAnsi="Times New Roman" w:cs="Times New Roman"/>
          <w:sz w:val="28"/>
          <w:szCs w:val="28"/>
        </w:rPr>
      </w:pPr>
      <w:r w:rsidRPr="00686D93">
        <w:rPr>
          <w:rFonts w:ascii="Times New Roman" w:hAnsi="Times New Roman" w:cs="Times New Roman"/>
          <w:sz w:val="28"/>
          <w:szCs w:val="28"/>
        </w:rPr>
        <w:t xml:space="preserve">ООО «РТС-тендер» </w:t>
      </w:r>
      <w:hyperlink r:id="rId11" w:history="1">
        <w:r w:rsidRPr="00686D93">
          <w:rPr>
            <w:rStyle w:val="a5"/>
            <w:rFonts w:ascii="Times New Roman" w:hAnsi="Times New Roman" w:cs="Times New Roman"/>
            <w:sz w:val="28"/>
            <w:szCs w:val="28"/>
          </w:rPr>
          <w:t>http://www.rts-tender.ru</w:t>
        </w:r>
      </w:hyperlink>
      <w:r w:rsidRPr="00686D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206" w:rsidRDefault="00E33206" w:rsidP="00686D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ОАО «РАД» </w:t>
      </w:r>
      <w:hyperlink r:id="rId12" w:history="1">
        <w:r w:rsidRPr="002D1ABA">
          <w:rPr>
            <w:rStyle w:val="a5"/>
            <w:rFonts w:ascii="Times New Roman" w:hAnsi="Times New Roman" w:cs="Times New Roman"/>
            <w:sz w:val="28"/>
            <w:szCs w:val="28"/>
          </w:rPr>
          <w:t>http://www.</w:t>
        </w:r>
        <w:r w:rsidRPr="002D1AB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lot</w:t>
        </w:r>
        <w:r w:rsidRPr="002D1ABA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Pr="002D1ABA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online</w:t>
        </w:r>
        <w:r w:rsidRPr="002D1ABA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D1ABA">
          <w:rPr>
            <w:rStyle w:val="a5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</w:p>
    <w:p w:rsidR="00400F7C" w:rsidRDefault="00524AEB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4AE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нормами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 (далее - Федеральный закон №44-ФЗ) в 2016 году закупки осуществлялись 138 муниципальными заказчиками бюджетными учреждениями (далее – муниципальные заказчики).</w:t>
      </w:r>
    </w:p>
    <w:p w:rsidR="00524AEB" w:rsidRDefault="00524AEB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муниципальными заказчиками фактически осуществлено 8593 процедур определений поставщиков товаров, работ, услуг общим объемом на 792531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7E6D89">
        <w:rPr>
          <w:rFonts w:ascii="Times New Roman" w:hAnsi="Times New Roman" w:cs="Times New Roman"/>
          <w:sz w:val="28"/>
          <w:szCs w:val="28"/>
        </w:rPr>
        <w:t xml:space="preserve"> Заключено контрактов на сумму 676154 тыс.руб.</w:t>
      </w:r>
    </w:p>
    <w:p w:rsidR="00524AEB" w:rsidRDefault="00524AEB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конкурентных способов проведено                                 1002 определений поставщиков товаров, работ, услуг общим объемом на 403447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24AEB" w:rsidRDefault="007E6D89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24AEB">
        <w:rPr>
          <w:rFonts w:ascii="Times New Roman" w:hAnsi="Times New Roman" w:cs="Times New Roman"/>
          <w:sz w:val="28"/>
          <w:szCs w:val="28"/>
        </w:rPr>
        <w:t xml:space="preserve">ткрытый конкурс – 1 закупка на сумму 1900 </w:t>
      </w:r>
      <w:proofErr w:type="spellStart"/>
      <w:r w:rsidR="00524AE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24A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24AE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24AEB">
        <w:rPr>
          <w:rFonts w:ascii="Times New Roman" w:hAnsi="Times New Roman" w:cs="Times New Roman"/>
          <w:sz w:val="28"/>
          <w:szCs w:val="28"/>
        </w:rPr>
        <w:t>,</w:t>
      </w:r>
    </w:p>
    <w:p w:rsidR="00524AEB" w:rsidRDefault="007E6D89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24AEB">
        <w:rPr>
          <w:rFonts w:ascii="Times New Roman" w:hAnsi="Times New Roman" w:cs="Times New Roman"/>
          <w:sz w:val="28"/>
          <w:szCs w:val="28"/>
        </w:rPr>
        <w:t xml:space="preserve">лектронный аукцион – 847 закупок на 381609 </w:t>
      </w:r>
      <w:proofErr w:type="spellStart"/>
      <w:r w:rsidR="00524AE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24A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24AEB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24AEB">
        <w:rPr>
          <w:rFonts w:ascii="Times New Roman" w:hAnsi="Times New Roman" w:cs="Times New Roman"/>
          <w:sz w:val="28"/>
          <w:szCs w:val="28"/>
        </w:rPr>
        <w:t>,</w:t>
      </w:r>
    </w:p>
    <w:p w:rsidR="00524AEB" w:rsidRDefault="007E6D89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24AEB">
        <w:rPr>
          <w:rFonts w:ascii="Times New Roman" w:hAnsi="Times New Roman" w:cs="Times New Roman"/>
          <w:sz w:val="28"/>
          <w:szCs w:val="28"/>
        </w:rPr>
        <w:t>апрос котировок – 154 закупок на 19938 тыс</w:t>
      </w:r>
      <w:proofErr w:type="gramStart"/>
      <w:r w:rsidR="00524AE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24AEB">
        <w:rPr>
          <w:rFonts w:ascii="Times New Roman" w:hAnsi="Times New Roman" w:cs="Times New Roman"/>
          <w:sz w:val="28"/>
          <w:szCs w:val="28"/>
        </w:rPr>
        <w:t>уб.</w:t>
      </w:r>
    </w:p>
    <w:p w:rsidR="00524AEB" w:rsidRDefault="00524AEB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единственного поставщика осуществлено 7591 закупок товаров, работ, услуг на сумму 272707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524AEB" w:rsidRDefault="00524AEB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Экономия бюджетных средств, сложившаяся по результатам закупок, осуществленных муниципальными заказчиками </w:t>
      </w:r>
      <w:r w:rsidR="000A5AD9">
        <w:rPr>
          <w:rFonts w:ascii="Times New Roman" w:hAnsi="Times New Roman" w:cs="Times New Roman"/>
          <w:sz w:val="28"/>
          <w:szCs w:val="28"/>
        </w:rPr>
        <w:t xml:space="preserve">в 2016 году конкурентными способами, составила 93263 </w:t>
      </w:r>
      <w:proofErr w:type="spellStart"/>
      <w:r w:rsidR="000A5AD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A5AD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A5AD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A5AD9">
        <w:rPr>
          <w:rFonts w:ascii="Times New Roman" w:hAnsi="Times New Roman" w:cs="Times New Roman"/>
          <w:sz w:val="28"/>
          <w:szCs w:val="28"/>
        </w:rPr>
        <w:t>, или 18,8 процентов от суммы начальных (максимальных) цен контрактов.</w:t>
      </w:r>
    </w:p>
    <w:p w:rsidR="000A5AD9" w:rsidRDefault="000A5AD9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Отмечается снижение количества закупок, осуществленных муниципальными заказчиками в 2016 году, по сравнению с показателями 2015 года на 12,3 процента. В стоимостных показателях общий объем закупок, осуществленных муниципальными заказчиками, снизился на 29,8 процентов по сравнению с показателями 2015 года.</w:t>
      </w:r>
      <w:r w:rsidR="00E332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3206">
        <w:rPr>
          <w:rFonts w:ascii="Times New Roman" w:hAnsi="Times New Roman" w:cs="Times New Roman"/>
          <w:sz w:val="28"/>
          <w:szCs w:val="28"/>
        </w:rPr>
        <w:t xml:space="preserve">Снижение показателя связано с закупкой детского сада (приобретен объект недвижимости под размещение МА ДОУ </w:t>
      </w:r>
      <w:proofErr w:type="spellStart"/>
      <w:r w:rsidR="00E3320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33206">
        <w:rPr>
          <w:rFonts w:ascii="Times New Roman" w:hAnsi="Times New Roman" w:cs="Times New Roman"/>
          <w:sz w:val="28"/>
          <w:szCs w:val="28"/>
        </w:rPr>
        <w:t>/с №50 на 290 мест расположенного по адресу:</w:t>
      </w:r>
      <w:proofErr w:type="gramEnd"/>
      <w:r w:rsidR="00E332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320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33206">
        <w:rPr>
          <w:rFonts w:ascii="Times New Roman" w:hAnsi="Times New Roman" w:cs="Times New Roman"/>
          <w:sz w:val="28"/>
          <w:szCs w:val="28"/>
        </w:rPr>
        <w:t xml:space="preserve"> район , </w:t>
      </w:r>
      <w:proofErr w:type="spellStart"/>
      <w:r w:rsidR="00E3320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3320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E33206">
        <w:rPr>
          <w:rFonts w:ascii="Times New Roman" w:hAnsi="Times New Roman" w:cs="Times New Roman"/>
          <w:sz w:val="28"/>
          <w:szCs w:val="28"/>
        </w:rPr>
        <w:t>овоукраинсткое</w:t>
      </w:r>
      <w:proofErr w:type="spellEnd"/>
      <w:r w:rsidR="00E33206">
        <w:rPr>
          <w:rFonts w:ascii="Times New Roman" w:hAnsi="Times New Roman" w:cs="Times New Roman"/>
          <w:sz w:val="28"/>
          <w:szCs w:val="28"/>
        </w:rPr>
        <w:t>) в ноябре 2015 года на сумму 214,6 млн.руб.</w:t>
      </w:r>
    </w:p>
    <w:p w:rsidR="000A5AD9" w:rsidRDefault="000A5AD9" w:rsidP="00524A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задач контрактной системы в сфере закупок является развитие конкурентной среды и сокращение случаев закупок у единственного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поставщика.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сложилась практика, при которой большая часть закупок осуществляется конкурентными способами. В 2016 году муниципальными заказчиками 59,7 процента общего объема закупок (в стоимостном выражении) осуществлено конкурентными способами, в 2015 году доля таких закупок составляла 44,4 процентов. Доля общего объема конкурентных закупок, осуществленных муниципальными заказчиками, в 2016 году составила 65,6 процента, что на 11,9 процента выше значения показателя 2015 года.</w:t>
      </w:r>
    </w:p>
    <w:p w:rsidR="006E250B" w:rsidRDefault="006E250B" w:rsidP="006E25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Преобладающим способом определения поставщика (подрядчика, исполнителя) среди конкурентных процедур остается электронный аукцион. Доля электронных аукционов от общего объема закупок, осуществленных конкурентными способами, составляет 56,4 процента.</w:t>
      </w:r>
    </w:p>
    <w:p w:rsidR="005A1A76" w:rsidRDefault="005A1A76" w:rsidP="006E250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заказчики осуществили закупки у субъектов малого предпринимательства, социально-ориентированных некоммерческих организаций в объеме 60% от совокупного годового объема закупок, рассчитанного с учетом особенностей, предусмотренных Федеральным законом №44-ФЗ.</w:t>
      </w:r>
    </w:p>
    <w:p w:rsidR="00686D93" w:rsidRPr="00686D93" w:rsidRDefault="00686D93" w:rsidP="00686D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6D93" w:rsidRDefault="00686D93" w:rsidP="00686D93">
      <w:pPr>
        <w:jc w:val="both"/>
        <w:rPr>
          <w:rFonts w:ascii="Times New Roman" w:hAnsi="Times New Roman" w:cs="Times New Roman"/>
          <w:sz w:val="28"/>
          <w:szCs w:val="28"/>
        </w:rPr>
      </w:pPr>
      <w:r w:rsidRPr="00686D93">
        <w:rPr>
          <w:rFonts w:ascii="Times New Roman" w:hAnsi="Times New Roman" w:cs="Times New Roman"/>
          <w:sz w:val="28"/>
          <w:szCs w:val="28"/>
        </w:rPr>
        <w:t>Количественная и стоимостная характеристика размещения заказа в 201</w:t>
      </w:r>
      <w:r w:rsidR="006F665F">
        <w:rPr>
          <w:rFonts w:ascii="Times New Roman" w:hAnsi="Times New Roman" w:cs="Times New Roman"/>
          <w:sz w:val="28"/>
          <w:szCs w:val="28"/>
        </w:rPr>
        <w:t>6</w:t>
      </w:r>
      <w:r w:rsidRPr="00686D93">
        <w:rPr>
          <w:rFonts w:ascii="Times New Roman" w:hAnsi="Times New Roman" w:cs="Times New Roman"/>
          <w:sz w:val="28"/>
          <w:szCs w:val="28"/>
        </w:rPr>
        <w:t xml:space="preserve"> году в муниципальном образовании </w:t>
      </w:r>
      <w:proofErr w:type="spellStart"/>
      <w:r w:rsidRPr="00686D9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86D93">
        <w:rPr>
          <w:rFonts w:ascii="Times New Roman" w:hAnsi="Times New Roman" w:cs="Times New Roman"/>
          <w:sz w:val="28"/>
          <w:szCs w:val="28"/>
        </w:rPr>
        <w:t xml:space="preserve"> район, включая городские и сельские поселения</w:t>
      </w:r>
    </w:p>
    <w:tbl>
      <w:tblPr>
        <w:tblW w:w="8806" w:type="dxa"/>
        <w:tblInd w:w="91" w:type="dxa"/>
        <w:tblLook w:val="04A0"/>
      </w:tblPr>
      <w:tblGrid>
        <w:gridCol w:w="5372"/>
        <w:gridCol w:w="3434"/>
      </w:tblGrid>
      <w:tr w:rsidR="006F665F" w:rsidRPr="006F665F" w:rsidTr="00636C9D">
        <w:trPr>
          <w:trHeight w:val="724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F665F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</w:tr>
      <w:tr w:rsidR="006F665F" w:rsidRPr="006F665F" w:rsidTr="00636C9D">
        <w:trPr>
          <w:trHeight w:val="375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F665F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F665F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3</w:t>
            </w:r>
          </w:p>
        </w:tc>
      </w:tr>
      <w:tr w:rsidR="006F665F" w:rsidRPr="006F665F" w:rsidTr="00636C9D">
        <w:trPr>
          <w:trHeight w:val="525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Совокупный годовой объем закупок, утвержденный на отчетный год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6F665F" w:rsidRPr="006F665F" w:rsidRDefault="006F665F" w:rsidP="00636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619 363</w:t>
            </w:r>
          </w:p>
        </w:tc>
      </w:tr>
      <w:tr w:rsidR="006F665F" w:rsidRPr="006F665F" w:rsidTr="00636C9D">
        <w:trPr>
          <w:trHeight w:val="525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 строки 1101 - из средств бюджета Краснодарского края (местных бюджетов)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F665F" w:rsidRPr="006F665F" w:rsidRDefault="006F665F" w:rsidP="00636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506 043</w:t>
            </w:r>
          </w:p>
        </w:tc>
      </w:tr>
      <w:tr w:rsidR="006F665F" w:rsidRPr="006F665F" w:rsidTr="00636C9D">
        <w:trPr>
          <w:trHeight w:val="525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 строки 1101 - из средств государственных внебюджетных фондов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F665F" w:rsidRPr="006F665F" w:rsidRDefault="006F665F" w:rsidP="00636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79 395</w:t>
            </w:r>
          </w:p>
        </w:tc>
      </w:tr>
      <w:tr w:rsidR="006F665F" w:rsidRPr="006F665F" w:rsidTr="00636C9D">
        <w:trPr>
          <w:trHeight w:val="525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 строки 1101 – из средств внебюджетных источников финансирования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F665F" w:rsidRPr="006F665F" w:rsidRDefault="006F665F" w:rsidP="00636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33 925</w:t>
            </w:r>
          </w:p>
        </w:tc>
      </w:tr>
      <w:tr w:rsidR="006F665F" w:rsidRPr="006F665F" w:rsidTr="00636C9D">
        <w:trPr>
          <w:trHeight w:val="1035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Совокупный годовой объем закупок, рассчитанный для определения объема закупок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F665F" w:rsidRPr="006F665F" w:rsidRDefault="006F665F" w:rsidP="00636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198 521</w:t>
            </w:r>
          </w:p>
        </w:tc>
      </w:tr>
      <w:tr w:rsidR="006F665F" w:rsidRPr="006F665F" w:rsidTr="00636C9D">
        <w:trPr>
          <w:trHeight w:val="510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Всего использовано средств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6F665F" w:rsidRPr="006F665F" w:rsidRDefault="006F665F" w:rsidP="00636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619 363</w:t>
            </w:r>
          </w:p>
        </w:tc>
      </w:tr>
      <w:tr w:rsidR="006F665F" w:rsidRPr="006F665F" w:rsidTr="00636C9D">
        <w:trPr>
          <w:trHeight w:val="525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 строки 1106 - использовано средств бюджета Краснодарского края (местных бюджетов)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F665F" w:rsidRPr="006F665F" w:rsidRDefault="006F665F" w:rsidP="00636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506 043</w:t>
            </w:r>
          </w:p>
        </w:tc>
      </w:tr>
      <w:tr w:rsidR="006F665F" w:rsidRPr="006F665F" w:rsidTr="00636C9D">
        <w:trPr>
          <w:trHeight w:val="525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Из строки 1106 - использовано средств государственных внебюджетных фондов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F665F" w:rsidRPr="006F665F" w:rsidRDefault="006F665F" w:rsidP="00636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79 395</w:t>
            </w:r>
          </w:p>
        </w:tc>
      </w:tr>
      <w:tr w:rsidR="006F665F" w:rsidRPr="006F665F" w:rsidTr="00636C9D">
        <w:trPr>
          <w:trHeight w:val="525"/>
        </w:trPr>
        <w:tc>
          <w:tcPr>
            <w:tcW w:w="53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65F" w:rsidRPr="006F665F" w:rsidRDefault="006F665F" w:rsidP="006F665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Из строки 1106 - использовано средств из внебюджетных источников финансирования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6F665F" w:rsidRPr="006F665F" w:rsidRDefault="006F665F" w:rsidP="00636C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F665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33 925</w:t>
            </w:r>
          </w:p>
        </w:tc>
      </w:tr>
    </w:tbl>
    <w:p w:rsidR="00686D93" w:rsidRDefault="00686D93" w:rsidP="00686D9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Ind w:w="103" w:type="dxa"/>
        <w:tblLayout w:type="fixed"/>
        <w:tblLook w:val="00A0"/>
      </w:tblPr>
      <w:tblGrid>
        <w:gridCol w:w="559"/>
        <w:gridCol w:w="4970"/>
        <w:gridCol w:w="2160"/>
        <w:gridCol w:w="2151"/>
      </w:tblGrid>
      <w:tr w:rsidR="00686D93" w:rsidRPr="00686D93" w:rsidTr="006F665F">
        <w:trPr>
          <w:trHeight w:val="585"/>
        </w:trPr>
        <w:tc>
          <w:tcPr>
            <w:tcW w:w="9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686D93" w:rsidRPr="00686D93" w:rsidRDefault="00686D93" w:rsidP="006F665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86D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продукции закупаемой для муниципальных нужд за счет средств местного бюджета и внебюджетных источников финансирования  </w:t>
            </w:r>
          </w:p>
        </w:tc>
      </w:tr>
      <w:tr w:rsidR="00686D93" w:rsidRPr="00686D93" w:rsidTr="006F665F">
        <w:trPr>
          <w:trHeight w:val="58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686D93" w:rsidRPr="00686D93" w:rsidRDefault="00686D93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686D9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686D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686D93" w:rsidRPr="00686D93" w:rsidRDefault="00686D93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муниципальных заказчиков, городских и сельских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686D93" w:rsidRPr="00686D93" w:rsidRDefault="00686D93" w:rsidP="006F665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Использовано в 201</w:t>
            </w:r>
            <w:r w:rsidR="006F6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году, </w:t>
            </w:r>
            <w:proofErr w:type="spellStart"/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686D93" w:rsidRPr="00686D93" w:rsidRDefault="00686D93" w:rsidP="006F665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Использовано </w:t>
            </w:r>
            <w:r w:rsidR="006F6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</w:t>
            </w:r>
            <w:r w:rsidR="006F66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году, </w:t>
            </w:r>
            <w:proofErr w:type="spellStart"/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686D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</w:p>
        </w:tc>
      </w:tr>
      <w:tr w:rsidR="00686D93" w:rsidRPr="00686D93" w:rsidTr="006F665F">
        <w:trPr>
          <w:trHeight w:val="39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</w:tcPr>
          <w:p w:rsidR="00686D93" w:rsidRPr="00686D93" w:rsidRDefault="00686D93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</w:tcPr>
          <w:p w:rsidR="00686D93" w:rsidRPr="00686D93" w:rsidRDefault="00686D93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Всего по муниципальному образованию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686D93" w:rsidRPr="00686D93" w:rsidRDefault="006F665F" w:rsidP="00400F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895 311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</w:tcPr>
          <w:p w:rsidR="00686D93" w:rsidRPr="00686D93" w:rsidRDefault="006F665F" w:rsidP="00400F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619 363</w:t>
            </w:r>
          </w:p>
        </w:tc>
      </w:tr>
      <w:tr w:rsidR="006F665F" w:rsidRPr="00686D93" w:rsidTr="00D04E7E">
        <w:trPr>
          <w:trHeight w:val="28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 xml:space="preserve">МУЗ "ЦРБ </w:t>
            </w: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Гулькевичского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района"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6F665F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142 348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6F665F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130 109</w:t>
            </w:r>
          </w:p>
        </w:tc>
      </w:tr>
      <w:tr w:rsidR="006F665F" w:rsidRPr="00686D93" w:rsidTr="004C488A">
        <w:trPr>
          <w:trHeight w:val="28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 xml:space="preserve">Учреждения образования МО </w:t>
            </w: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Гулькевичский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193 487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187 347</w:t>
            </w:r>
          </w:p>
        </w:tc>
      </w:tr>
      <w:tr w:rsidR="006F665F" w:rsidRPr="00686D93" w:rsidTr="004C488A">
        <w:trPr>
          <w:trHeight w:val="28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666BF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 xml:space="preserve">Учреждения администрации МО </w:t>
            </w: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Гулькевичский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289 664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99 030</w:t>
            </w:r>
          </w:p>
        </w:tc>
      </w:tr>
      <w:tr w:rsidR="008A3F86" w:rsidRPr="00686D93" w:rsidTr="004C488A">
        <w:trPr>
          <w:trHeight w:val="28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3F86" w:rsidRPr="00686D93" w:rsidRDefault="008A3F86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3F86" w:rsidRPr="00686D93" w:rsidRDefault="008A3F86" w:rsidP="004666B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МО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F86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33 932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F86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36933</w:t>
            </w:r>
          </w:p>
        </w:tc>
      </w:tr>
      <w:tr w:rsidR="006F665F" w:rsidRPr="00686D93" w:rsidTr="004C488A">
        <w:trPr>
          <w:trHeight w:val="28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666BF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 xml:space="preserve">Учреждения культуры МО </w:t>
            </w: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Гулькевичский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район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8 566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7 200</w:t>
            </w:r>
          </w:p>
        </w:tc>
      </w:tr>
      <w:tr w:rsidR="006F665F" w:rsidRPr="00686D93" w:rsidTr="00145126">
        <w:trPr>
          <w:trHeight w:val="26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Гулькевичское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городское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88 451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51 554</w:t>
            </w:r>
          </w:p>
        </w:tc>
      </w:tr>
      <w:tr w:rsidR="006F665F" w:rsidRPr="00686D93" w:rsidTr="00414B3E">
        <w:trPr>
          <w:trHeight w:val="29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Гирейское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городское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9 028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10 764</w:t>
            </w:r>
          </w:p>
        </w:tc>
      </w:tr>
      <w:tr w:rsidR="006F665F" w:rsidRPr="00686D93" w:rsidTr="00414B3E">
        <w:trPr>
          <w:trHeight w:val="29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Красносельское городское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11 423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11 268</w:t>
            </w:r>
          </w:p>
        </w:tc>
      </w:tr>
      <w:tr w:rsidR="006F665F" w:rsidRPr="00686D93" w:rsidTr="00C83D2C">
        <w:trPr>
          <w:trHeight w:val="26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666BF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 xml:space="preserve">Сельское поселение </w:t>
            </w:r>
            <w:proofErr w:type="spellStart"/>
            <w:proofErr w:type="gramStart"/>
            <w:r w:rsidRPr="00686D93">
              <w:rPr>
                <w:rFonts w:ascii="Times New Roman" w:hAnsi="Times New Roman" w:cs="Times New Roman"/>
                <w:color w:val="000000"/>
              </w:rPr>
              <w:t>Венцы-Заря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16 985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10 062</w:t>
            </w:r>
          </w:p>
        </w:tc>
      </w:tr>
      <w:tr w:rsidR="006F665F" w:rsidRPr="00686D93" w:rsidTr="00C83D2C">
        <w:trPr>
          <w:trHeight w:val="26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666BF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Сельское поселение Кубань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17 282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17 901</w:t>
            </w:r>
          </w:p>
        </w:tc>
      </w:tr>
      <w:tr w:rsidR="006F665F" w:rsidRPr="00686D93" w:rsidTr="00C83D2C">
        <w:trPr>
          <w:trHeight w:val="26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6F665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Комсомольское сельское</w:t>
            </w:r>
            <w:r w:rsidRPr="00686D93">
              <w:rPr>
                <w:rFonts w:ascii="Times New Roman" w:hAnsi="Times New Roman" w:cs="Times New Roman"/>
                <w:color w:val="000000"/>
              </w:rPr>
              <w:t xml:space="preserve">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5 381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2 940</w:t>
            </w:r>
          </w:p>
        </w:tc>
      </w:tr>
      <w:tr w:rsidR="006F665F" w:rsidRPr="00686D93" w:rsidTr="00C83D2C">
        <w:trPr>
          <w:trHeight w:val="26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666B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Николенское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7 282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4 801</w:t>
            </w:r>
          </w:p>
        </w:tc>
      </w:tr>
      <w:tr w:rsidR="006F665F" w:rsidRPr="00686D93" w:rsidTr="00C83D2C">
        <w:trPr>
          <w:trHeight w:val="26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\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666B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Новоукраинское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9 793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11 159</w:t>
            </w:r>
          </w:p>
        </w:tc>
      </w:tr>
      <w:tr w:rsidR="006F665F" w:rsidRPr="00686D93" w:rsidTr="00B65933">
        <w:trPr>
          <w:trHeight w:val="26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666BF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Отрадо-Кубанское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7 895</w:t>
            </w:r>
          </w:p>
        </w:tc>
      </w:tr>
      <w:tr w:rsidR="006F665F" w:rsidRPr="00686D93" w:rsidTr="003547FA">
        <w:trPr>
          <w:trHeight w:val="27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Отрадо-Ольгинское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11 639</w:t>
            </w:r>
          </w:p>
        </w:tc>
      </w:tr>
      <w:tr w:rsidR="006F665F" w:rsidRPr="00686D93" w:rsidTr="00AE026E">
        <w:trPr>
          <w:trHeight w:val="27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Пушкинское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5 577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3 248</w:t>
            </w:r>
          </w:p>
        </w:tc>
      </w:tr>
      <w:tr w:rsidR="006F665F" w:rsidRPr="00686D93" w:rsidTr="00822707">
        <w:trPr>
          <w:trHeight w:val="27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86D93">
              <w:rPr>
                <w:rFonts w:ascii="Times New Roman" w:hAnsi="Times New Roman" w:cs="Times New Roman"/>
                <w:color w:val="000000"/>
              </w:rPr>
              <w:t>Скобелевское</w:t>
            </w:r>
            <w:proofErr w:type="spellEnd"/>
            <w:r w:rsidRPr="00686D93">
              <w:rPr>
                <w:rFonts w:ascii="Times New Roman" w:hAnsi="Times New Roman" w:cs="Times New Roman"/>
                <w:color w:val="000000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4 271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2 249</w:t>
            </w:r>
          </w:p>
        </w:tc>
      </w:tr>
      <w:tr w:rsidR="006F665F" w:rsidRPr="00686D93" w:rsidTr="00896483">
        <w:trPr>
          <w:trHeight w:val="2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Соколовское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7 422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5 918</w:t>
            </w:r>
          </w:p>
        </w:tc>
      </w:tr>
      <w:tr w:rsidR="006F665F" w:rsidRPr="00686D93" w:rsidTr="002135DA">
        <w:trPr>
          <w:trHeight w:val="26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Сельское поселение Союз четырех хуторов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3 520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2 294</w:t>
            </w:r>
          </w:p>
        </w:tc>
      </w:tr>
      <w:tr w:rsidR="006F665F" w:rsidRPr="00686D93" w:rsidTr="004310B3">
        <w:trPr>
          <w:trHeight w:val="26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65F" w:rsidRPr="00686D93" w:rsidRDefault="006F665F" w:rsidP="00400F7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65F" w:rsidRPr="00686D93" w:rsidRDefault="006F665F" w:rsidP="00400F7C">
            <w:pPr>
              <w:rPr>
                <w:rFonts w:ascii="Times New Roman" w:hAnsi="Times New Roman" w:cs="Times New Roman"/>
                <w:color w:val="000000"/>
              </w:rPr>
            </w:pPr>
            <w:r w:rsidRPr="00686D93">
              <w:rPr>
                <w:rFonts w:ascii="Times New Roman" w:hAnsi="Times New Roman" w:cs="Times New Roman"/>
                <w:color w:val="000000"/>
              </w:rPr>
              <w:t>Тысячное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2 767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665F" w:rsidRPr="00686D93" w:rsidRDefault="008A3F86" w:rsidP="00400F7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1 620</w:t>
            </w:r>
          </w:p>
        </w:tc>
      </w:tr>
    </w:tbl>
    <w:p w:rsidR="00686D93" w:rsidRDefault="00686D93" w:rsidP="008A3F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0F61" w:rsidRDefault="00580F61" w:rsidP="00580F6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Результаты проведения контрольных мероприятий                                          в 2015-2017(январь-май) годах</w:t>
      </w:r>
    </w:p>
    <w:p w:rsidR="00580F61" w:rsidRDefault="00580F61" w:rsidP="00580F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по осуществлению  контроля по каждому направлению осуществлялась в 2015-2017(январь-май) годах осуществлялась должностными лицами отдела муниципального финансового контроля в составе двух человек.                                                                                     </w:t>
      </w:r>
    </w:p>
    <w:p w:rsidR="00580F61" w:rsidRDefault="00580F61" w:rsidP="00580F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контроля, которые осуществляют должностные лица отдела:    внутренний муниципальный финансовый контроль в сфере бюджетных правоотношений, внутренний муниципальный финансовый контроль в сфере закупок, ведомственный контроль в сфере закупок, контроль в сфере закупок, контроль в сфере закупок</w:t>
      </w:r>
      <w:r w:rsidR="0071003A">
        <w:rPr>
          <w:rFonts w:ascii="Times New Roman" w:hAnsi="Times New Roman" w:cs="Times New Roman"/>
          <w:sz w:val="28"/>
          <w:szCs w:val="28"/>
        </w:rPr>
        <w:t xml:space="preserve">, как </w:t>
      </w:r>
      <w:proofErr w:type="gramStart"/>
      <w:r w:rsidR="0071003A">
        <w:rPr>
          <w:rFonts w:ascii="Times New Roman" w:hAnsi="Times New Roman" w:cs="Times New Roman"/>
          <w:sz w:val="28"/>
          <w:szCs w:val="28"/>
        </w:rPr>
        <w:t>органом</w:t>
      </w:r>
      <w:proofErr w:type="gramEnd"/>
      <w:r w:rsidR="0071003A">
        <w:rPr>
          <w:rFonts w:ascii="Times New Roman" w:hAnsi="Times New Roman" w:cs="Times New Roman"/>
          <w:sz w:val="28"/>
          <w:szCs w:val="28"/>
        </w:rPr>
        <w:t xml:space="preserve"> уполномоченным по контролю.        </w:t>
      </w:r>
    </w:p>
    <w:p w:rsidR="0071003A" w:rsidRDefault="0071003A" w:rsidP="00580F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по контролю осуществляется по соглашению, регламентирующего взаимодействие органа муниципального финансового контроля субъекта Российской Федерации с органом прокуратуры, соглашение о взаимодействии между  прокуратурой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               28 февраля 2013 года.</w:t>
      </w:r>
    </w:p>
    <w:p w:rsidR="0071003A" w:rsidRDefault="0071003A" w:rsidP="00580F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проверок за 2015 год – 32. Общий объем проверенных средств: 75 214 908,19 рублей. Выявлены и устранены прочие финансовые нарушения на сумму 4 749 282,63 рублей. Неэффективное использование бюджетных средств 111 553,87 рублей. Возмещены необоснованно использованные суммы субсидий на сумму 184 997,23 рублей. Количество предписаний (представлений) – 12. Передано материалов в прокуратуру- 32. Все представления (предписания) исполнены в срок и в полном объеме. Всего возмещено в бюджеты всех уровней: 186 467, 23 рублей.</w:t>
      </w:r>
    </w:p>
    <w:p w:rsidR="0071003A" w:rsidRDefault="0071003A" w:rsidP="00580F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Дисциплинарные взыскания – 24. Всего 26 выявленных нарушений Закона № 33-ФЗ. Направлено 23 материала в Министерство экономики Краснодарского края для привлечения к ответственности должностных лиц на общую сумму 248,0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71003A" w:rsidRDefault="0071003A" w:rsidP="00580F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проверок за 2016 год – 45. Общий объем проверенных средств: 87 991 854,96 рублей. Выявлены и устранены прочие финансовые нарушения на сумму 7 003 448.2 рублей. Неэффективное использование бюджетных средств 37 367,14 рублей. Возмещены необо</w:t>
      </w:r>
      <w:r w:rsidR="00AE3396">
        <w:rPr>
          <w:rFonts w:ascii="Times New Roman" w:hAnsi="Times New Roman" w:cs="Times New Roman"/>
          <w:sz w:val="28"/>
          <w:szCs w:val="28"/>
        </w:rPr>
        <w:t>снованно использованные суммы субсидий на сумму 609 970,83 рублей. Осуществлена доплата работникам 1 975,34 рублей. Количество предписаний (представлений) – 11. Проведено материалов в прокуратуру – 45. Все предписани</w:t>
      </w:r>
      <w:proofErr w:type="gramStart"/>
      <w:r w:rsidR="00AE3396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AE3396">
        <w:rPr>
          <w:rFonts w:ascii="Times New Roman" w:hAnsi="Times New Roman" w:cs="Times New Roman"/>
          <w:sz w:val="28"/>
          <w:szCs w:val="28"/>
        </w:rPr>
        <w:t>представления) исполнены в срок и  в полном объеме.</w:t>
      </w:r>
    </w:p>
    <w:p w:rsidR="00AE3396" w:rsidRDefault="00AE3396" w:rsidP="00580F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Дисциплинарные взыскания – 45. Всего 17 выявленных нарушений Закона № 44-ФЗ. Направлено 15 материалов в Министерство экономики Краснодарского края для привлечения к ответственности должностных лиц на общую сумму 228,0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AE3396" w:rsidRDefault="00AE3396" w:rsidP="00580F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проверок за январь-май 2017 года –</w:t>
      </w:r>
      <w:r w:rsidR="003A270A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>, две в стадии окончания. Общий объем проверочных средств 20 600 788,63 рублей. Выявлены и устранены прочие финансовые нарушения на сумму 1 740 870,7 рублей. Неэффективное использование бюджетных средств 66 880,5 рублей. Возмещены необоснованно использованные суммы субсидий на сумму 6 205,77 рублей. Количество предписаний (представлений) – 5. Передано материалов в прокуратуру – 12. Все представления (предписания) исполнены в срок и в полном объеме.</w:t>
      </w:r>
    </w:p>
    <w:p w:rsidR="00AE3396" w:rsidRDefault="00AE3396" w:rsidP="00580F6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Дисциплинарные взыскания -  6. Направлено 8 материалов  для привлечения к административной ответственности на сумму 93,0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AE3396" w:rsidRDefault="00AE3396" w:rsidP="00AE3396">
      <w:pPr>
        <w:rPr>
          <w:rFonts w:ascii="Times New Roman" w:hAnsi="Times New Roman" w:cs="Times New Roman"/>
          <w:sz w:val="28"/>
          <w:szCs w:val="28"/>
        </w:rPr>
      </w:pPr>
    </w:p>
    <w:p w:rsidR="00AE3396" w:rsidRPr="00AE3396" w:rsidRDefault="00AE3396" w:rsidP="00AE33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         администрации муниципального образования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А.В. Иванов</w:t>
      </w:r>
    </w:p>
    <w:sectPr w:rsidR="00AE3396" w:rsidRPr="00AE3396" w:rsidSect="003A270A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4086B"/>
    <w:multiLevelType w:val="hybridMultilevel"/>
    <w:tmpl w:val="59E071AE"/>
    <w:lvl w:ilvl="0" w:tplc="58B0ECBA">
      <w:start w:val="1"/>
      <w:numFmt w:val="decimal"/>
      <w:lvlText w:val="%1)"/>
      <w:lvlJc w:val="left"/>
      <w:pPr>
        <w:ind w:left="1728" w:hanging="945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24AEB"/>
    <w:rsid w:val="000A5AD9"/>
    <w:rsid w:val="00113258"/>
    <w:rsid w:val="001457E3"/>
    <w:rsid w:val="003022E7"/>
    <w:rsid w:val="003A270A"/>
    <w:rsid w:val="00400F7C"/>
    <w:rsid w:val="00447638"/>
    <w:rsid w:val="004673AA"/>
    <w:rsid w:val="00524AEB"/>
    <w:rsid w:val="00530E36"/>
    <w:rsid w:val="00580F61"/>
    <w:rsid w:val="005A1A76"/>
    <w:rsid w:val="005E6706"/>
    <w:rsid w:val="00636C9D"/>
    <w:rsid w:val="00686D93"/>
    <w:rsid w:val="006E250B"/>
    <w:rsid w:val="006F665F"/>
    <w:rsid w:val="0071003A"/>
    <w:rsid w:val="007E6D89"/>
    <w:rsid w:val="00812D06"/>
    <w:rsid w:val="008660F2"/>
    <w:rsid w:val="008A3F86"/>
    <w:rsid w:val="00A9669E"/>
    <w:rsid w:val="00AE3396"/>
    <w:rsid w:val="00B53CD6"/>
    <w:rsid w:val="00B771ED"/>
    <w:rsid w:val="00C60FF1"/>
    <w:rsid w:val="00D95D1E"/>
    <w:rsid w:val="00DE64F9"/>
    <w:rsid w:val="00E33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113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qFormat/>
    <w:rsid w:val="00113258"/>
    <w:rPr>
      <w:b/>
      <w:bCs/>
    </w:rPr>
  </w:style>
  <w:style w:type="character" w:styleId="a4">
    <w:name w:val="Emphasis"/>
    <w:basedOn w:val="a0"/>
    <w:uiPriority w:val="20"/>
    <w:qFormat/>
    <w:rsid w:val="00113258"/>
    <w:rPr>
      <w:i/>
      <w:iCs/>
    </w:rPr>
  </w:style>
  <w:style w:type="character" w:styleId="a5">
    <w:name w:val="Hyperlink"/>
    <w:basedOn w:val="a0"/>
    <w:rsid w:val="00686D93"/>
    <w:rPr>
      <w:rFonts w:ascii="Arial" w:hAnsi="Arial" w:cs="Arial" w:hint="default"/>
      <w:strike w:val="0"/>
      <w:dstrike w:val="0"/>
      <w:color w:val="01569E"/>
      <w:sz w:val="14"/>
      <w:szCs w:val="14"/>
      <w:u w:val="none"/>
      <w:effect w:val="none"/>
    </w:rPr>
  </w:style>
  <w:style w:type="paragraph" w:customStyle="1" w:styleId="2">
    <w:name w:val="Текст2"/>
    <w:basedOn w:val="a"/>
    <w:uiPriority w:val="99"/>
    <w:rsid w:val="00686D93"/>
    <w:pPr>
      <w:autoSpaceDE w:val="0"/>
      <w:autoSpaceDN w:val="0"/>
      <w:spacing w:before="20" w:after="0" w:line="360" w:lineRule="auto"/>
      <w:ind w:right="147" w:firstLine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812D06"/>
  </w:style>
  <w:style w:type="character" w:styleId="a6">
    <w:name w:val="FollowedHyperlink"/>
    <w:basedOn w:val="a0"/>
    <w:uiPriority w:val="99"/>
    <w:semiHidden/>
    <w:unhideWhenUsed/>
    <w:rsid w:val="00DE64F9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636C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berbank-ast.ru" TargetMode="External"/><Relationship Id="rId12" Type="http://schemas.openxmlformats.org/officeDocument/2006/relationships/hyperlink" Target="http://www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tp-mic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zakazrf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93CAC-9AA8-4435-ADB8-E2C71118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3044</Words>
  <Characters>17356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Bugaeva</dc:creator>
  <cp:lastModifiedBy>Admin</cp:lastModifiedBy>
  <cp:revision>6</cp:revision>
  <cp:lastPrinted>2017-07-04T05:29:00Z</cp:lastPrinted>
  <dcterms:created xsi:type="dcterms:W3CDTF">2017-06-27T08:44:00Z</dcterms:created>
  <dcterms:modified xsi:type="dcterms:W3CDTF">2017-07-04T05:30:00Z</dcterms:modified>
</cp:coreProperties>
</file>