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420"/>
        <w:gridCol w:w="61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279"/>
        <w:gridCol w:w="63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C474A0">
              <w:rPr>
                <w:rFonts w:ascii="Times New Roman" w:hAnsi="Times New Roman" w:cs="Times New Roman"/>
                <w:sz w:val="28"/>
                <w:szCs w:val="28"/>
              </w:rPr>
              <w:t>по строительству, транспорту, коммунальному хозяйству, благоустройству, связи, архитектуре и градостроительству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C474A0" w:rsidRDefault="00C474A0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«О внесении изменений в постановление администрации муниципального образования Гулькевичский район от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20 февраля 2016 года № 99 «Об утверждении административного регламента по предоставлению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муниципальной услуги «Выдача разрешений на строительство, реконструкцию объектов капитального строительства»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C474A0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E9">
              <w:rPr>
                <w:rFonts w:ascii="Times New Roman" w:hAnsi="Times New Roman" w:cs="Times New Roman"/>
                <w:sz w:val="28"/>
                <w:szCs w:val="28"/>
              </w:rPr>
              <w:t>Проектом предусмотрено приведение нормативного правового акта муниципального образования Гулькевичский район в соответствие с действующим законодательством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594C6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6FB3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онкретизация некоторых пунктов,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касающихся сроков предоставления муниципальной услуги,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остав</w:t>
            </w:r>
            <w:r>
              <w:rPr>
                <w:rFonts w:ascii="Times New Roman" w:hAnsi="Times New Roman"/>
                <w:sz w:val="28"/>
                <w:szCs w:val="28"/>
              </w:rPr>
              <w:t>а, последовательности и сроков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 выполнения административных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процедур (действий), требований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 к порядку их вып</w:t>
            </w:r>
            <w:r>
              <w:rPr>
                <w:rFonts w:ascii="Times New Roman" w:hAnsi="Times New Roman"/>
                <w:sz w:val="28"/>
                <w:szCs w:val="28"/>
              </w:rPr>
              <w:t>олнения, в том числе особенностей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 выполнения административных процедур (действий) в электр</w:t>
            </w:r>
            <w:r>
              <w:rPr>
                <w:rFonts w:ascii="Times New Roman" w:hAnsi="Times New Roman"/>
                <w:sz w:val="28"/>
                <w:szCs w:val="28"/>
              </w:rPr>
              <w:t>онной форме, а также особенностей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 выполнения административных процедур в МКУ «МФЦ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74A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Срок предоставления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1731" w:rsidRPr="00594C6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2)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МКУ «МФЦ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A938E9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Балацкая Зарина Салимовна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61731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архитектуры и градостроительства,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главны</w:t>
            </w:r>
            <w:r>
              <w:rPr>
                <w:rFonts w:ascii="Times New Roman" w:hAnsi="Times New Roman"/>
                <w:sz w:val="28"/>
                <w:szCs w:val="28"/>
              </w:rPr>
              <w:t>й архитектор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594C6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5-00-85                           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A516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zarina1103@mail.ru</w:t>
              </w:r>
            </w:hyperlink>
            <w:r w:rsidRPr="00A938E9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Предполагаемое правовое регулирование направлено на приведение муниципального нормативного правового акта в соответствии с действующим законодательством во избежание негативных последствий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«Выдача разрешений на строительство, реконструкцию объектов капитального строительства»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42A17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767B01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8509E">
              <w:rPr>
                <w:rFonts w:ascii="Times New Roman" w:hAnsi="Times New Roman" w:cs="Times New Roman"/>
                <w:sz w:val="28"/>
                <w:szCs w:val="28"/>
              </w:rPr>
              <w:t>В действующем постановлении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Гулькевичский район от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20 февраля 2016 года № 99 «Об утверждении административного регламента по предоставлению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муниципальной услуги «Выдача разрешений на строительство, реконструкцию объектов капитального строительства»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недостаточно была раскрыта информация о</w:t>
            </w:r>
            <w:r w:rsidR="00112CB5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использовании Портала.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DF01BE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количественную оценку которых определить не представляется возможным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достаточная информированность населения,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0D0ED3" w:rsidRDefault="00DF01BE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соответствие действующему законодательству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Указанные проблемы могут быть решены посредством вмешательства органов местного самоуправления в лице администрации муниципального образования Гулькевичский район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DF01B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DF01B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DF01BE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1. </w:t>
            </w:r>
            <w:r w:rsidR="00AB172B" w:rsidRPr="004A34EF">
              <w:rPr>
                <w:rFonts w:ascii="Times New Roman" w:hAnsi="Times New Roman" w:cs="Times New Roman"/>
              </w:rPr>
              <w:t xml:space="preserve">Внесение изменений в некоторые пункты </w:t>
            </w:r>
            <w:r w:rsidRPr="004A34EF">
              <w:rPr>
                <w:rFonts w:ascii="Times New Roman" w:hAnsi="Times New Roman" w:cs="Times New Roman"/>
              </w:rPr>
              <w:t>постановления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4A34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С момента официального опубликования</w:t>
            </w:r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7466F7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3.4. Действующие нормативные правовые акты, поручения, другие решения, из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  <w:r w:rsidR="00E66784" w:rsidRPr="001479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FA7870" w:rsidRDefault="00461731" w:rsidP="004A34EF">
            <w:pPr>
              <w:pStyle w:val="1"/>
              <w:ind w:firstLine="0"/>
              <w:jc w:val="both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614" w:rsidRPr="00C23614" w:rsidRDefault="004A34EF" w:rsidP="004A34EF">
            <w:pPr>
              <w:ind w:firstLine="0"/>
            </w:pPr>
            <w:r w:rsidRPr="004A3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B7C64">
              <w:rPr>
                <w:rFonts w:ascii="Times New Roman" w:hAnsi="Times New Roman"/>
                <w:sz w:val="28"/>
                <w:szCs w:val="28"/>
              </w:rPr>
              <w:t xml:space="preserve">Конституцией Российской Федерации, принята всенародным голосованием 12 декабря 1993 года («Российская газета» от 25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7B7C64">
                <w:rPr>
                  <w:rFonts w:ascii="Times New Roman" w:hAnsi="Times New Roman"/>
                  <w:sz w:val="28"/>
                  <w:szCs w:val="28"/>
                </w:rPr>
                <w:t>1993 г</w:t>
              </w:r>
            </w:smartTag>
            <w:r w:rsidRPr="007B7C64">
              <w:rPr>
                <w:rFonts w:ascii="Times New Roman" w:hAnsi="Times New Roman"/>
                <w:sz w:val="28"/>
                <w:szCs w:val="28"/>
              </w:rPr>
              <w:t xml:space="preserve">. № 237); Градостроительным кодексом Российской Федерации от 29 декабря 2004 года № 190-ФЗ («Российская газета», № 290,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B7C64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., «Собрание законодательства РФ», 3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., № 1 (часть 1), ст. 16, «Парламентская газета», № 5-6, 14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.); Федеральным законом от 6 октября 2003 года № 131-ФЗ «Об общих принципах организации местного самоуправления в Российской Федерации» («Российская газета», № 202, 8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2003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., «Парламентская газета», № 186, 8 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2003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., «Собрание законодательства РФ», № 40,        ст. 3822, 6 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2003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.); Федеральным законом от 29 декабря 2004 года       № 191-ФЗ «О введении в действие Градостроительного кодекса Российской Федерации» («Российская газета», № 290,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., «Собрание законодательства РФ», 3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., № 1 (часть 1), ст. 17, «Парламентская газета», № 5-6, 14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.); Федеральным законом от 27 июля 2010 № 210-ФЗ «Об организации предоставления государственных и муниципальных услуг» («Российская газета», № 168, 30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., «Собрание законодательства РФ», 2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., № 31, ст. 4179); 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06.04.2011 № 63-ФЗ «Об электронной подписи»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опубликован в 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«Собрание законодательства Российской Федерации»,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06.04.2011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№ 15, статья 2036);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0EC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Российской Федерации от 24 ноября 2005 года № 698            «О форме разрешения на строительство и форме разрешения на ввод объекта в эксплуатацию» («Собрание законодательства РФ», 28 ноября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., № 48, ст. 5047, «Российская газета», № 275, 7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>.); постановлением Правительства Российской Федерац</w:t>
            </w:r>
            <w:r>
              <w:rPr>
                <w:rFonts w:ascii="Times New Roman" w:hAnsi="Times New Roman"/>
                <w:sz w:val="28"/>
                <w:szCs w:val="28"/>
              </w:rPr>
              <w:t>ии от 16 февраля 2008 года № 87</w:t>
            </w:r>
            <w:r w:rsidRPr="001D30EC">
              <w:rPr>
                <w:rFonts w:ascii="Times New Roman" w:hAnsi="Times New Roman"/>
                <w:sz w:val="28"/>
                <w:szCs w:val="28"/>
              </w:rPr>
              <w:t xml:space="preserve"> «О составе разделов проектной документации и требованиях к их содержанию» («Собрание законодательства РФ», 25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., № 8, ст. 744, «Российская газета», № 41, 27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.); </w:t>
            </w: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30.05.2011 № 22, статья 3169);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(текст опубликован в издании «Российская газета» от 02.07.2012 № 148);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государственных услуг» (текст опубликован в издании «Собрание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Федерации»от 03.09.2012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№ 36, статья 4903);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20.11.2012  № 1198 «О федеральной государственной информационной системе, обеспечивающей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 досудебного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(внесудебного) обжалования решений и действий (бездействия), совершенных при предоставлении государственных и муниципальных услуг» (текст опубликован в«Российская газета», от 23.11.2012 № 271);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26.03.2016  № 236 «О требованиях к предоставлению в электронной форме государственных и муниципальных услуг» (текст опубликован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правовой информации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(www.pravo.gov.ru) 05.04.2016,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«Российская газета» от 08.04.2016 № 75,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«Собрании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от 11.04.2016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2084);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0EC"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регионального развития Российской Федерации от 19 октября 2006 года № 120 «Об утверждении Инструкции о порядке заполнения формы разрешения на строительство» («Бюллетень нормативных актов федеральных органов исполнительной власти», № 48, 27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2006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B849D4">
                <w:rPr>
                  <w:rFonts w:ascii="Times New Roman" w:hAnsi="Times New Roman" w:cs="Times New Roman"/>
                  <w:sz w:val="28"/>
                  <w:szCs w:val="28"/>
                </w:rPr>
                <w:t>риказ</w:t>
              </w:r>
            </w:hyperlink>
            <w:r w:rsidRPr="00B849D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>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 (текст опубликован на Официальном интернет-портале правовой информации http</w:t>
            </w:r>
            <w:r>
              <w:rPr>
                <w:rFonts w:ascii="Times New Roman" w:hAnsi="Times New Roman"/>
                <w:sz w:val="28"/>
                <w:szCs w:val="28"/>
              </w:rPr>
              <w:t>://www.pravo.gov.ru 13.04.2015)</w:t>
            </w:r>
            <w:r w:rsidRPr="001D30EC">
              <w:rPr>
                <w:rFonts w:ascii="Times New Roman" w:hAnsi="Times New Roman"/>
                <w:sz w:val="28"/>
                <w:szCs w:val="28"/>
              </w:rPr>
              <w:t xml:space="preserve">; Законом Краснодарского края от 21 июля 2008 года № 1540-КЗ «Градостроительный кодекс Краснодарского края» («Кубанские новости», № 122, 24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 xml:space="preserve">., «Информационный бюллетень ЗС КК», № 9(139), 1 августа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D30EC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1D30EC">
              <w:rPr>
                <w:rFonts w:ascii="Times New Roman" w:hAnsi="Times New Roman"/>
                <w:sz w:val="28"/>
                <w:szCs w:val="28"/>
              </w:rPr>
              <w:t>., часть 1.);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Законом Краснодарского края от 02.06.2006 №1028-КЗ «Об органах архитектуры и градостроительства Краснодарского края» (текст опубликован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>Информационном бюллетене Законодательного Собрания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»от 15.06.2006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 xml:space="preserve"> №42(113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E20">
              <w:rPr>
                <w:rFonts w:ascii="Times New Roman" w:hAnsi="Times New Roman" w:cs="Times New Roman"/>
                <w:sz w:val="28"/>
                <w:szCs w:val="28"/>
              </w:rPr>
              <w:t>Законом Краснодарского края от 02.03.2012 № 2446-КЗ «Об отдельных вопросах организации предоставления государственных и муниципальных услуг на территории Краснодарского края» (текст опубликован в газете «Кубанские новости» от 05.03.</w:t>
            </w:r>
            <w:r>
              <w:rPr>
                <w:rFonts w:ascii="Times New Roman" w:hAnsi="Times New Roman"/>
                <w:sz w:val="28"/>
                <w:szCs w:val="28"/>
              </w:rPr>
              <w:t>2011 № 35).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65227D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Конкретизация отдельных пунктов </w:t>
            </w:r>
            <w:r w:rsidR="00FA7870" w:rsidRPr="004A34EF">
              <w:rPr>
                <w:rFonts w:ascii="Times New Roman" w:hAnsi="Times New Roman" w:cs="Times New Roman"/>
              </w:rPr>
              <w:t>постановления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C410F1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C410F1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F1D3A" w:rsidRPr="002F1D3A" w:rsidRDefault="00461731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C23614" w:rsidRDefault="003A0F35" w:rsidP="004A34EF">
                  <w:pPr>
                    <w:pStyle w:val="1"/>
                    <w:spacing w:before="0" w:after="0"/>
                    <w:ind w:firstLine="0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 w:rsidR="00FC51D4" w:rsidRPr="00C23614">
                    <w:rPr>
                      <w:rFonts w:ascii="Times New Roman" w:hAnsi="Times New Roman" w:cs="Times New Roman"/>
                      <w:b w:val="0"/>
                    </w:rPr>
                    <w:t>Многофункциональный центр по предоставлению государственных и муниципальных услуг муниципального образования Гулькевичский район</w:t>
                  </w:r>
                </w:p>
              </w:tc>
            </w:tr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FC51D4" w:rsidP="004A34EF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>1. При обращении в многофункциональный центр предоставления государственных и муниципальных услуг муниципальная услуга предоставляется с учетом принципа экстерриториальности</w:t>
                  </w:r>
                </w:p>
              </w:tc>
              <w:tc>
                <w:tcPr>
                  <w:tcW w:w="1560" w:type="dxa"/>
                </w:tcPr>
                <w:p w:rsidR="003A0F35" w:rsidRPr="00FC51D4" w:rsidRDefault="00FC51D4" w:rsidP="004A34E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C51D4" w:rsidRPr="00FC51D4" w:rsidRDefault="00FC51D4" w:rsidP="004A34EF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Заявитель вправе выбрать </w:t>
                  </w:r>
                  <w:r w:rsidRPr="00FC51D4">
                    <w:rPr>
                      <w:rFonts w:ascii="Times New Roman" w:hAnsi="Times New Roman"/>
                    </w:rPr>
                    <w:t>для обращения за получением муниципальной услуги</w:t>
                  </w:r>
                  <w:r w:rsidR="00C23614">
                    <w:rPr>
                      <w:rFonts w:ascii="Times New Roman" w:hAnsi="Times New Roman"/>
                    </w:rPr>
                    <w:t xml:space="preserve"> МФЦ</w:t>
                  </w:r>
                  <w:r w:rsidRPr="00FC51D4">
                    <w:rPr>
                      <w:rFonts w:ascii="Times New Roman" w:hAnsi="Times New Roman"/>
                    </w:rPr>
                    <w:t>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</w:t>
                  </w:r>
                  <w:r w:rsidR="00C23614">
                    <w:rPr>
                      <w:rFonts w:ascii="Times New Roman" w:hAnsi="Times New Roman"/>
                    </w:rPr>
                    <w:t xml:space="preserve">ии Краснодарского края объектов </w:t>
                  </w:r>
                  <w:r w:rsidRPr="00FC51D4">
                    <w:rPr>
                      <w:rFonts w:ascii="Times New Roman" w:hAnsi="Times New Roman"/>
                    </w:rPr>
                    <w:t>недвижимости.</w:t>
                  </w:r>
                </w:p>
                <w:p w:rsidR="00FC51D4" w:rsidRPr="00FC51D4" w:rsidRDefault="00C23614" w:rsidP="004A34EF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FC51D4" w:rsidRPr="00FC51D4">
                    <w:rPr>
                      <w:rFonts w:ascii="Times New Roman" w:hAnsi="Times New Roman"/>
                    </w:rPr>
                    <w:t xml:space="preserve">Условием предоставления муниципальной услуги по </w:t>
                  </w:r>
                  <w:r>
                    <w:rPr>
                      <w:rFonts w:ascii="Times New Roman" w:hAnsi="Times New Roman"/>
                    </w:rPr>
                    <w:t xml:space="preserve">данному </w:t>
                  </w:r>
                  <w:r w:rsidR="00FC51D4" w:rsidRPr="00FC51D4">
                    <w:rPr>
                      <w:rFonts w:ascii="Times New Roman" w:hAnsi="Times New Roman"/>
                    </w:rPr>
                    <w:t xml:space="preserve">принципу является регистрация </w:t>
                  </w:r>
                  <w:r w:rsidR="00FC51D4" w:rsidRPr="00FC51D4">
                    <w:rPr>
                      <w:rFonts w:ascii="Times New Roman" w:hAnsi="Times New Roman"/>
                    </w:rPr>
                    <w:lastRenderedPageBreak/>
                    <w:t>заявителя в федеральной государственной информа</w:t>
                  </w:r>
                  <w:r>
                    <w:rPr>
                      <w:rFonts w:ascii="Times New Roman" w:hAnsi="Times New Roman"/>
                    </w:rPr>
                    <w:t xml:space="preserve">ционной системе «Единая система </w:t>
                  </w:r>
                  <w:r w:rsidR="00FC51D4" w:rsidRPr="00FC51D4">
                    <w:rPr>
                      <w:rFonts w:ascii="Times New Roman" w:hAnsi="Times New Roman"/>
                    </w:rPr>
            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</w:t>
                  </w:r>
                  <w:r w:rsidR="00FC51D4">
                    <w:rPr>
                      <w:rFonts w:ascii="Times New Roman" w:hAnsi="Times New Roman"/>
                    </w:rPr>
                    <w:t xml:space="preserve">твенных и муниципальных услуг в </w:t>
                  </w:r>
                  <w:r w:rsidR="00FC51D4" w:rsidRPr="00FC51D4">
                    <w:rPr>
                      <w:rFonts w:ascii="Times New Roman" w:hAnsi="Times New Roman"/>
                    </w:rPr>
                    <w:t>электронном виде</w:t>
                  </w:r>
                  <w:r w:rsidR="00FC51D4">
                    <w:rPr>
                      <w:rFonts w:ascii="Times New Roman" w:hAnsi="Times New Roman"/>
                    </w:rPr>
                    <w:t>.</w:t>
                  </w:r>
                </w:p>
                <w:p w:rsidR="00F332A5" w:rsidRPr="00F332A5" w:rsidRDefault="00F332A5" w:rsidP="00F332A5">
                  <w:pPr>
                    <w:ind w:firstLine="0"/>
                  </w:pPr>
                </w:p>
              </w:tc>
              <w:tc>
                <w:tcPr>
                  <w:tcW w:w="1559" w:type="dxa"/>
                </w:tcPr>
                <w:p w:rsidR="003A0F35" w:rsidRPr="00461731" w:rsidRDefault="003A0F35" w:rsidP="004A34E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461731" w:rsidRDefault="003A0F35" w:rsidP="004A34E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32A5" w:rsidRPr="00461731" w:rsidTr="004A34EF">
              <w:tc>
                <w:tcPr>
                  <w:tcW w:w="2731" w:type="dxa"/>
                </w:tcPr>
                <w:p w:rsidR="00F332A5" w:rsidRPr="00FC51D4" w:rsidRDefault="00F332A5" w:rsidP="00F332A5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2.  Подтверждение о приеме и регистрации документов </w:t>
                  </w:r>
                </w:p>
              </w:tc>
              <w:tc>
                <w:tcPr>
                  <w:tcW w:w="1560" w:type="dxa"/>
                </w:tcPr>
                <w:p w:rsidR="00F332A5" w:rsidRPr="00FC51D4" w:rsidRDefault="00F332A5" w:rsidP="004A34E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332A5" w:rsidRDefault="00F332A5" w:rsidP="004A34EF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F332A5">
                    <w:rPr>
                      <w:rFonts w:ascii="Times New Roman" w:hAnsi="Times New Roman"/>
                    </w:rPr>
                    <w:t>При направлении заявления и документов (содержащихся в них сведений) в форме электронных документов в порядке, предусмотренном пунктом 2.16.1 настоящего подраздела, обеспечивается возможность направления заявителю сообщения в электронном виде, подтверждающего их прием и регистрацию.</w:t>
                  </w:r>
                </w:p>
              </w:tc>
              <w:tc>
                <w:tcPr>
                  <w:tcW w:w="1559" w:type="dxa"/>
                </w:tcPr>
                <w:p w:rsidR="00F332A5" w:rsidRPr="00461731" w:rsidRDefault="00F332A5" w:rsidP="004A34E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F332A5" w:rsidRPr="00461731" w:rsidRDefault="00F332A5" w:rsidP="004A34E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40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</w:t>
            </w:r>
            <w:r w:rsidR="006F6AC9" w:rsidRPr="004A34EF">
              <w:rPr>
                <w:rStyle w:val="a4"/>
                <w:rFonts w:ascii="Times New Roman" w:hAnsi="Times New Roman"/>
                <w:color w:val="auto"/>
              </w:rPr>
              <w:t>ом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 xml:space="preserve"> 5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</w:t>
            </w:r>
            <w:r w:rsidR="007E0E66" w:rsidRPr="004A34EF">
              <w:rPr>
                <w:rFonts w:ascii="Times New Roman" w:hAnsi="Times New Roman" w:cs="Times New Roman"/>
              </w:rPr>
              <w:t>о</w:t>
            </w:r>
            <w:r w:rsidRPr="004A34EF">
              <w:rPr>
                <w:rFonts w:ascii="Times New Roman" w:hAnsi="Times New Roman" w:cs="Times New Roman"/>
              </w:rPr>
              <w:t>тчёта)</w:t>
            </w:r>
          </w:p>
          <w:p w:rsidR="007E52FC" w:rsidRPr="004A34EF" w:rsidRDefault="007E52FC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6.2. Виды расходов (возможных поступлений бюджета муниципального образования </w:t>
            </w:r>
            <w:r w:rsidR="001C797C" w:rsidRPr="004A34EF">
              <w:rPr>
                <w:rFonts w:ascii="Times New Roman" w:hAnsi="Times New Roman" w:cs="Times New Roman"/>
              </w:rPr>
              <w:t>Гулькевичский</w:t>
            </w:r>
            <w:r w:rsidRPr="004A34EF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</w:t>
            </w:r>
            <w:r w:rsidR="00636423" w:rsidRPr="004A34EF">
              <w:rPr>
                <w:rFonts w:ascii="Times New Roman" w:hAnsi="Times New Roman" w:cs="Times New Roman"/>
              </w:rPr>
              <w:t>. руб.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461731" w:rsidRPr="004A34EF" w:rsidRDefault="00FA7870" w:rsidP="004A34EF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A34EF">
              <w:rPr>
                <w:rFonts w:ascii="Times New Roman" w:hAnsi="Times New Roman" w:cs="Times New Roman"/>
                <w:b w:val="0"/>
                <w:color w:val="auto"/>
              </w:rPr>
              <w:t>Управление по строительству, транспорту, коммунальному хозяйству, благоустройству, связи, архитектуре и градостроительству</w:t>
            </w:r>
          </w:p>
        </w:tc>
      </w:tr>
      <w:tr w:rsidR="00461731" w:rsidRPr="0066465E" w:rsidTr="004A34EF">
        <w:trPr>
          <w:jc w:val="center"/>
        </w:trPr>
        <w:tc>
          <w:tcPr>
            <w:tcW w:w="4034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F" w:rsidRDefault="004A34EF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4A34EF" w:rsidRDefault="004A34EF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5831B1" w:rsidRPr="004A34EF" w:rsidRDefault="00A91138" w:rsidP="004A34EF">
            <w:pPr>
              <w:ind w:firstLine="0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2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Единовременные расходы в ____ г.: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4034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Периодические расходы за период ____ гг.: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4034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Возможные доходы за период ____ гг.: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97EE1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659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единовременные расходы за период _</w:t>
            </w:r>
            <w:r w:rsidR="00FF0BE6" w:rsidRPr="004A34EF">
              <w:rPr>
                <w:rFonts w:ascii="Times New Roman" w:hAnsi="Times New Roman" w:cs="Times New Roman"/>
              </w:rPr>
              <w:t>2016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4A34EF">
        <w:trPr>
          <w:jc w:val="center"/>
        </w:trPr>
        <w:tc>
          <w:tcPr>
            <w:tcW w:w="659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пери</w:t>
            </w:r>
            <w:r w:rsidR="00FF0BE6" w:rsidRPr="004A34EF">
              <w:rPr>
                <w:rFonts w:ascii="Times New Roman" w:hAnsi="Times New Roman" w:cs="Times New Roman"/>
              </w:rPr>
              <w:t xml:space="preserve">одические расходы за период  2016 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4A34EF">
        <w:trPr>
          <w:jc w:val="center"/>
        </w:trPr>
        <w:tc>
          <w:tcPr>
            <w:tcW w:w="659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</w:t>
            </w:r>
            <w:r w:rsidR="00FF0BE6" w:rsidRPr="004A34EF">
              <w:rPr>
                <w:rFonts w:ascii="Times New Roman" w:hAnsi="Times New Roman" w:cs="Times New Roman"/>
              </w:rPr>
              <w:t xml:space="preserve"> возможные доходы за период  2016 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3C" w:rsidRPr="004A34E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7.1. Группы потенциальных адресатов предла</w:t>
            </w:r>
            <w:r w:rsidR="00630E6A" w:rsidRPr="004A34EF">
              <w:rPr>
                <w:rFonts w:ascii="Times New Roman" w:hAnsi="Times New Roman" w:cs="Times New Roman"/>
              </w:rPr>
              <w:t>гаемого правового регулирования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3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</w:t>
            </w:r>
            <w:r w:rsidR="00630E6A" w:rsidRPr="004A34EF">
              <w:rPr>
                <w:rFonts w:ascii="Times New Roman" w:hAnsi="Times New Roman" w:cs="Times New Roman"/>
              </w:rPr>
              <w:t>агаемым правовым регулированием</w:t>
            </w:r>
          </w:p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(с указанием соответствующих положений прое</w:t>
            </w:r>
            <w:r w:rsidR="00630E6A" w:rsidRPr="004A34EF">
              <w:rPr>
                <w:rFonts w:ascii="Times New Roman" w:hAnsi="Times New Roman" w:cs="Times New Roman"/>
              </w:rPr>
              <w:t>кта муниципального нормативного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A34EF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  <w:r w:rsidR="00461731" w:rsidRPr="004A34EF">
              <w:rPr>
                <w:rFonts w:ascii="Times New Roman" w:hAnsi="Times New Roman" w:cs="Times New Roman"/>
              </w:rPr>
              <w:t>Количественная оценка, млн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  <w:r w:rsidR="00461731" w:rsidRPr="004A34EF">
              <w:rPr>
                <w:rFonts w:ascii="Times New Roman" w:hAnsi="Times New Roman" w:cs="Times New Roman"/>
              </w:rPr>
              <w:t xml:space="preserve"> руб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</w:p>
        </w:tc>
      </w:tr>
      <w:tr w:rsidR="00461731" w:rsidRPr="0066465E" w:rsidTr="00F332A5">
        <w:trPr>
          <w:trHeight w:val="676"/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537045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3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Default="00F332A5" w:rsidP="00F332A5">
            <w:pPr>
              <w:pStyle w:val="a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2A5">
              <w:rPr>
                <w:rFonts w:ascii="Times New Roman" w:hAnsi="Times New Roman"/>
              </w:rPr>
              <w:t>Заявителям обеспечивается возможность получения информации о предоставляемой муниципальной услуге на Портале</w:t>
            </w:r>
            <w:r>
              <w:rPr>
                <w:rFonts w:ascii="Times New Roman" w:hAnsi="Times New Roman"/>
              </w:rPr>
              <w:t>;</w:t>
            </w:r>
          </w:p>
          <w:p w:rsidR="00F332A5" w:rsidRPr="00F332A5" w:rsidRDefault="00F332A5" w:rsidP="00F332A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332A5">
              <w:rPr>
                <w:rFonts w:ascii="Times New Roman" w:hAnsi="Times New Roman"/>
              </w:rPr>
              <w:t>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услуги, в том числе в форме электронного документа:</w:t>
            </w:r>
          </w:p>
          <w:p w:rsidR="00F332A5" w:rsidRPr="00F332A5" w:rsidRDefault="00F332A5" w:rsidP="00F332A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332A5">
              <w:rPr>
                <w:rFonts w:ascii="Times New Roman" w:hAnsi="Times New Roman"/>
              </w:rPr>
              <w:t>в уполномоченный орган;</w:t>
            </w:r>
          </w:p>
          <w:p w:rsidR="00F332A5" w:rsidRPr="00F332A5" w:rsidRDefault="00F332A5" w:rsidP="00F332A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2)</w:t>
            </w:r>
            <w:r w:rsidRPr="00F332A5">
              <w:rPr>
                <w:rFonts w:ascii="Times New Roman" w:hAnsi="Times New Roman"/>
              </w:rPr>
              <w:t>через МФЦ в уполномоченный орган;</w:t>
            </w:r>
          </w:p>
          <w:p w:rsidR="00F332A5" w:rsidRPr="00F332A5" w:rsidRDefault="00F332A5" w:rsidP="00F332A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332A5">
              <w:rPr>
                <w:rFonts w:ascii="Times New Roman" w:hAnsi="Times New Roman"/>
              </w:rPr>
              <w:t>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</w:t>
            </w:r>
            <w:r>
              <w:rPr>
                <w:rFonts w:ascii="Times New Roman" w:hAnsi="Times New Roman"/>
              </w:rPr>
              <w:t>» (далее – электронная подпись);</w:t>
            </w:r>
          </w:p>
          <w:p w:rsidR="00F332A5" w:rsidRDefault="00F332A5" w:rsidP="00F332A5">
            <w:pPr>
              <w:ind w:firstLine="0"/>
              <w:jc w:val="left"/>
              <w:rPr>
                <w:rFonts w:ascii="Times New Roman" w:hAnsi="Times New Roman"/>
              </w:rPr>
            </w:pPr>
            <w:r>
              <w:t>-</w:t>
            </w:r>
            <w:r w:rsidRPr="00F332A5">
              <w:rPr>
                <w:rFonts w:ascii="Times New Roman" w:hAnsi="Times New Roman"/>
              </w:rPr>
              <w:t>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</w:t>
            </w:r>
            <w:r>
              <w:rPr>
                <w:rFonts w:ascii="Times New Roman" w:hAnsi="Times New Roman"/>
              </w:rPr>
              <w:t>;</w:t>
            </w:r>
          </w:p>
          <w:p w:rsidR="00F332A5" w:rsidRPr="00F332A5" w:rsidRDefault="00F332A5" w:rsidP="00F332A5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-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2A5">
              <w:rPr>
                <w:rFonts w:ascii="Times New Roman" w:hAnsi="Times New Roman"/>
              </w:rPr>
              <w:t>Отклонение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реконструкции, капитального ремонта такого объекта,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порядке, установленном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53704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53704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Определить не представляется возможным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C410F1">
        <w:trPr>
          <w:trHeight w:val="299"/>
          <w:jc w:val="center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 w:rsidR="0076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C410F1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02B2" w:rsidRP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Pr="002966AA">
              <w:rPr>
                <w:rFonts w:ascii="Times New Roman" w:hAnsi="Times New Roman"/>
                <w:sz w:val="28"/>
                <w:szCs w:val="28"/>
              </w:rPr>
              <w:t>«Выдача разрешений на строительство, реконструкцию объектов капитального строительства»</w:t>
            </w:r>
            <w:r>
              <w:rPr>
                <w:rFonts w:ascii="Times New Roman" w:hAnsi="Times New Roman"/>
                <w:sz w:val="28"/>
                <w:szCs w:val="28"/>
              </w:rPr>
              <w:t>, экономия времени заявителей с помощью использования компьютерных технологий, а именно Портала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802B2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Внесение изменений в постановление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</w:t>
            </w:r>
            <w:r w:rsidR="00FA7870" w:rsidRPr="004A34EF">
              <w:rPr>
                <w:rFonts w:ascii="Times New Roman" w:hAnsi="Times New Roman" w:cs="Times New Roman"/>
              </w:rPr>
              <w:t>несение изменений постановление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Увеличение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 xml:space="preserve">увеличения </w:t>
            </w:r>
            <w:r w:rsidRPr="00D723DB">
              <w:rPr>
                <w:rFonts w:ascii="Times New Roman" w:hAnsi="Times New Roman" w:cs="Times New Roman"/>
              </w:rPr>
              <w:t>численности потенциальных адресатов предлагаемого правового регулирования в среднесрочном периоде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</w:t>
            </w:r>
            <w:r w:rsidRPr="004A34EF">
              <w:rPr>
                <w:rFonts w:ascii="Times New Roman" w:hAnsi="Times New Roman" w:cs="Times New Roman"/>
              </w:rPr>
              <w:lastRenderedPageBreak/>
              <w:t>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lastRenderedPageBreak/>
              <w:t xml:space="preserve">Предполагаемая цель будет </w:t>
            </w:r>
            <w:r w:rsidRPr="00D723DB">
              <w:rPr>
                <w:rFonts w:ascii="Times New Roman" w:hAnsi="Times New Roman" w:cs="Times New Roman"/>
              </w:rPr>
              <w:lastRenderedPageBreak/>
              <w:t>достигнута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Предполагаемая цель не будет </w:t>
            </w:r>
            <w:r>
              <w:rPr>
                <w:rFonts w:ascii="Times New Roman" w:hAnsi="Times New Roman" w:cs="Times New Roman"/>
              </w:rPr>
              <w:lastRenderedPageBreak/>
              <w:t>достигнута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приведения нормативного правового акта в соответствие с действующим законодательством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8841C7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2B5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о внесении изменений 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>в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 повлияет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2B5" w:rsidRPr="003422B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«Выдача разрешений на строительство, реконструкцию объектов капитального строительства»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2B2" w:rsidRPr="000B360B" w:rsidRDefault="003422B5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проекте постановления </w:t>
            </w:r>
            <w:r w:rsidR="009B565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расширены функции МФЦ,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наиболее подробно предоставлена информация по использованию Портала, что позволит заявителям самостоятельно пользоваться муниципальной услугой, с помощью информационно-коммуникационных технологий.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>о 2 квартале 2017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2FFE" w:rsidRDefault="003422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архитектуры и </w:t>
            </w:r>
          </w:p>
          <w:p w:rsidR="003422B5" w:rsidRDefault="003422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градостроительства,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главны</w:t>
            </w:r>
            <w:r>
              <w:rPr>
                <w:rFonts w:ascii="Times New Roman" w:hAnsi="Times New Roman"/>
                <w:sz w:val="28"/>
                <w:szCs w:val="28"/>
              </w:rPr>
              <w:t>й архитектор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З.С. Балацкая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34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A34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2FFE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8D9" w:rsidRPr="00BC798D" w:rsidRDefault="00DA38D9" w:rsidP="0017167C">
      <w:pPr>
        <w:pStyle w:val="a5"/>
      </w:pPr>
      <w:r>
        <w:separator/>
      </w:r>
    </w:p>
  </w:endnote>
  <w:endnote w:type="continuationSeparator" w:id="1">
    <w:p w:rsidR="00DA38D9" w:rsidRPr="00BC798D" w:rsidRDefault="00DA38D9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8D9" w:rsidRPr="00BC798D" w:rsidRDefault="00DA38D9" w:rsidP="0017167C">
      <w:pPr>
        <w:pStyle w:val="a5"/>
      </w:pPr>
      <w:r>
        <w:separator/>
      </w:r>
    </w:p>
  </w:footnote>
  <w:footnote w:type="continuationSeparator" w:id="1">
    <w:p w:rsidR="00DA38D9" w:rsidRPr="00BC798D" w:rsidRDefault="00DA38D9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EC5304">
    <w:pPr>
      <w:pStyle w:val="a7"/>
      <w:jc w:val="center"/>
    </w:pPr>
    <w:fldSimple w:instr=" PAGE   \* MERGEFORMAT ">
      <w:r w:rsidR="00E51097">
        <w:rPr>
          <w:noProof/>
        </w:rPr>
        <w:t>9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87878"/>
    <w:rsid w:val="00095038"/>
    <w:rsid w:val="000B360B"/>
    <w:rsid w:val="000D0ED3"/>
    <w:rsid w:val="000D7EDC"/>
    <w:rsid w:val="00112CB5"/>
    <w:rsid w:val="0013463F"/>
    <w:rsid w:val="00137399"/>
    <w:rsid w:val="001448CE"/>
    <w:rsid w:val="00160D79"/>
    <w:rsid w:val="00170BC1"/>
    <w:rsid w:val="0017167C"/>
    <w:rsid w:val="00173EDC"/>
    <w:rsid w:val="001A11BA"/>
    <w:rsid w:val="001B6407"/>
    <w:rsid w:val="001C797C"/>
    <w:rsid w:val="002236B5"/>
    <w:rsid w:val="002E160C"/>
    <w:rsid w:val="002F1D3A"/>
    <w:rsid w:val="002F2456"/>
    <w:rsid w:val="003422B5"/>
    <w:rsid w:val="00385FB6"/>
    <w:rsid w:val="00397EE1"/>
    <w:rsid w:val="003A0051"/>
    <w:rsid w:val="003A0F35"/>
    <w:rsid w:val="003B4ED0"/>
    <w:rsid w:val="00461731"/>
    <w:rsid w:val="00477D17"/>
    <w:rsid w:val="004940F4"/>
    <w:rsid w:val="004A34EF"/>
    <w:rsid w:val="004B0A7B"/>
    <w:rsid w:val="004B7FFB"/>
    <w:rsid w:val="004C1665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6423"/>
    <w:rsid w:val="0065227D"/>
    <w:rsid w:val="00653F49"/>
    <w:rsid w:val="00654180"/>
    <w:rsid w:val="006700D4"/>
    <w:rsid w:val="00671A99"/>
    <w:rsid w:val="00672D85"/>
    <w:rsid w:val="00673DD7"/>
    <w:rsid w:val="00687956"/>
    <w:rsid w:val="006E2E06"/>
    <w:rsid w:val="006F6AC9"/>
    <w:rsid w:val="006F6B08"/>
    <w:rsid w:val="007466F7"/>
    <w:rsid w:val="0075223C"/>
    <w:rsid w:val="007628A2"/>
    <w:rsid w:val="00764841"/>
    <w:rsid w:val="00767B01"/>
    <w:rsid w:val="00777A09"/>
    <w:rsid w:val="0078194C"/>
    <w:rsid w:val="007C391C"/>
    <w:rsid w:val="007C47B0"/>
    <w:rsid w:val="007D295C"/>
    <w:rsid w:val="007E0E66"/>
    <w:rsid w:val="007E4540"/>
    <w:rsid w:val="007E52FC"/>
    <w:rsid w:val="008051BA"/>
    <w:rsid w:val="0082580D"/>
    <w:rsid w:val="00836F43"/>
    <w:rsid w:val="0084448D"/>
    <w:rsid w:val="00867E51"/>
    <w:rsid w:val="0087760E"/>
    <w:rsid w:val="008841C7"/>
    <w:rsid w:val="0088509E"/>
    <w:rsid w:val="00895927"/>
    <w:rsid w:val="008971D9"/>
    <w:rsid w:val="008B34AF"/>
    <w:rsid w:val="008C112C"/>
    <w:rsid w:val="008E059D"/>
    <w:rsid w:val="008F1168"/>
    <w:rsid w:val="00905EFF"/>
    <w:rsid w:val="009317D7"/>
    <w:rsid w:val="00935D7E"/>
    <w:rsid w:val="009868B7"/>
    <w:rsid w:val="009971B2"/>
    <w:rsid w:val="009A5160"/>
    <w:rsid w:val="009B5655"/>
    <w:rsid w:val="009D0581"/>
    <w:rsid w:val="009D493B"/>
    <w:rsid w:val="00A32DA9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B172B"/>
    <w:rsid w:val="00AC73DC"/>
    <w:rsid w:val="00AE614D"/>
    <w:rsid w:val="00B234AF"/>
    <w:rsid w:val="00B42A17"/>
    <w:rsid w:val="00B70831"/>
    <w:rsid w:val="00BE6FB3"/>
    <w:rsid w:val="00BF2838"/>
    <w:rsid w:val="00C23614"/>
    <w:rsid w:val="00C34657"/>
    <w:rsid w:val="00C410F1"/>
    <w:rsid w:val="00C44E59"/>
    <w:rsid w:val="00C474A0"/>
    <w:rsid w:val="00C61C4C"/>
    <w:rsid w:val="00C85F60"/>
    <w:rsid w:val="00C9452F"/>
    <w:rsid w:val="00CB64A0"/>
    <w:rsid w:val="00CD15FB"/>
    <w:rsid w:val="00CF60B1"/>
    <w:rsid w:val="00D22F14"/>
    <w:rsid w:val="00D30B40"/>
    <w:rsid w:val="00D33FE9"/>
    <w:rsid w:val="00D50FB7"/>
    <w:rsid w:val="00D723DB"/>
    <w:rsid w:val="00D73F72"/>
    <w:rsid w:val="00D7737A"/>
    <w:rsid w:val="00D81B50"/>
    <w:rsid w:val="00D86C2C"/>
    <w:rsid w:val="00D91664"/>
    <w:rsid w:val="00DA38D9"/>
    <w:rsid w:val="00DC627F"/>
    <w:rsid w:val="00DF01BE"/>
    <w:rsid w:val="00DF635A"/>
    <w:rsid w:val="00E04333"/>
    <w:rsid w:val="00E33302"/>
    <w:rsid w:val="00E51097"/>
    <w:rsid w:val="00E66784"/>
    <w:rsid w:val="00E802B2"/>
    <w:rsid w:val="00E81297"/>
    <w:rsid w:val="00E81786"/>
    <w:rsid w:val="00EB5335"/>
    <w:rsid w:val="00EB77B7"/>
    <w:rsid w:val="00EC5304"/>
    <w:rsid w:val="00EF7BE4"/>
    <w:rsid w:val="00F1439C"/>
    <w:rsid w:val="00F332A5"/>
    <w:rsid w:val="00F41207"/>
    <w:rsid w:val="00F51880"/>
    <w:rsid w:val="00F85562"/>
    <w:rsid w:val="00FA7870"/>
    <w:rsid w:val="00FB3FFE"/>
    <w:rsid w:val="00FB6A28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BD5BB401C602C9A8035E036DBDD4514CE268896E6C6C708C9ACD037DCp8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ina110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ABD5BB401C602C9A8035E036DBDD4514CC298095ECC6C708C9ACD037DCp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21453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Chistyakov</cp:lastModifiedBy>
  <cp:revision>6</cp:revision>
  <cp:lastPrinted>2017-07-19T11:03:00Z</cp:lastPrinted>
  <dcterms:created xsi:type="dcterms:W3CDTF">2017-07-18T13:26:00Z</dcterms:created>
  <dcterms:modified xsi:type="dcterms:W3CDTF">2017-07-19T12:14:00Z</dcterms:modified>
</cp:coreProperties>
</file>