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178"/>
        <w:tblW w:w="15310" w:type="dxa"/>
        <w:tblLayout w:type="fixed"/>
        <w:tblLook w:val="04A0" w:firstRow="1" w:lastRow="0" w:firstColumn="1" w:lastColumn="0" w:noHBand="0" w:noVBand="1"/>
      </w:tblPr>
      <w:tblGrid>
        <w:gridCol w:w="2145"/>
        <w:gridCol w:w="1805"/>
        <w:gridCol w:w="1621"/>
        <w:gridCol w:w="1943"/>
        <w:gridCol w:w="1276"/>
        <w:gridCol w:w="1559"/>
        <w:gridCol w:w="2126"/>
        <w:gridCol w:w="2835"/>
      </w:tblGrid>
      <w:tr w:rsidR="004E7F6B" w:rsidTr="004E7F6B">
        <w:tc>
          <w:tcPr>
            <w:tcW w:w="2145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Вид </w:t>
            </w:r>
            <w:proofErr w:type="spellStart"/>
            <w:r>
              <w:t>микрозайма</w:t>
            </w:r>
            <w:proofErr w:type="spellEnd"/>
          </w:p>
        </w:tc>
        <w:tc>
          <w:tcPr>
            <w:tcW w:w="1805" w:type="dxa"/>
            <w:shd w:val="clear" w:color="auto" w:fill="D9D9D9" w:themeFill="background1" w:themeFillShade="D9"/>
          </w:tcPr>
          <w:p w:rsidR="00E27F74" w:rsidRDefault="00E27F74" w:rsidP="004E7F6B">
            <w:r>
              <w:t>Срок предоставления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Сумма, тыс. руб. 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Цель </w:t>
            </w:r>
            <w:proofErr w:type="spellStart"/>
            <w:r>
              <w:t>микрозайма</w:t>
            </w:r>
            <w:proofErr w:type="spellEnd"/>
          </w:p>
        </w:tc>
        <w:tc>
          <w:tcPr>
            <w:tcW w:w="1276" w:type="dxa"/>
            <w:shd w:val="clear" w:color="auto" w:fill="D9D9D9" w:themeFill="background1" w:themeFillShade="D9"/>
          </w:tcPr>
          <w:p w:rsidR="00E27F74" w:rsidRDefault="00E27F74" w:rsidP="004E7F6B">
            <w:proofErr w:type="gramStart"/>
            <w:r>
              <w:t>Процент</w:t>
            </w:r>
            <w:r w:rsidR="00F81520">
              <w:t>-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ставка</w:t>
            </w:r>
            <w:r w:rsidR="00B6627B">
              <w:t>, % годовых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27F74" w:rsidRDefault="00E27F74" w:rsidP="004E7F6B">
            <w:r>
              <w:t>Условия погашения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27F74" w:rsidRDefault="00E27F74" w:rsidP="004E7F6B">
            <w:r>
              <w:t xml:space="preserve">Обеспечение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E27F74" w:rsidRDefault="00E27F74" w:rsidP="004E7F6B">
            <w:r>
              <w:t>Дополнительные условия</w:t>
            </w:r>
          </w:p>
        </w:tc>
      </w:tr>
      <w:tr w:rsidR="00B6627B" w:rsidTr="004E7F6B">
        <w:tc>
          <w:tcPr>
            <w:tcW w:w="2145" w:type="dxa"/>
          </w:tcPr>
          <w:p w:rsidR="00E27F74" w:rsidRDefault="00E27F74" w:rsidP="004E7F6B">
            <w:r>
              <w:t>«Старт»</w:t>
            </w:r>
          </w:p>
        </w:tc>
        <w:tc>
          <w:tcPr>
            <w:tcW w:w="1805" w:type="dxa"/>
          </w:tcPr>
          <w:p w:rsidR="00E27F74" w:rsidRDefault="00E27F74" w:rsidP="004E7F6B">
            <w:r>
              <w:t>От 3 до 12 мес.</w:t>
            </w:r>
          </w:p>
        </w:tc>
        <w:tc>
          <w:tcPr>
            <w:tcW w:w="1621" w:type="dxa"/>
          </w:tcPr>
          <w:p w:rsidR="00E27F74" w:rsidRDefault="00E27F74" w:rsidP="004E7F6B">
            <w:r>
              <w:t>От 100 до 500</w:t>
            </w:r>
          </w:p>
        </w:tc>
        <w:tc>
          <w:tcPr>
            <w:tcW w:w="1943" w:type="dxa"/>
          </w:tcPr>
          <w:p w:rsidR="00E27F74" w:rsidRDefault="00E27F74" w:rsidP="004E7F6B">
            <w:r>
              <w:t>Пополнение оборотных средств, приобретение основных средств</w:t>
            </w:r>
          </w:p>
        </w:tc>
        <w:tc>
          <w:tcPr>
            <w:tcW w:w="1276" w:type="dxa"/>
          </w:tcPr>
          <w:p w:rsidR="00E27F74" w:rsidRDefault="00B6627B" w:rsidP="004E7F6B">
            <w:r>
              <w:t>7,25</w:t>
            </w:r>
          </w:p>
        </w:tc>
        <w:tc>
          <w:tcPr>
            <w:tcW w:w="1559" w:type="dxa"/>
          </w:tcPr>
          <w:p w:rsidR="00E27F74" w:rsidRDefault="00B6627B" w:rsidP="004E7F6B">
            <w:proofErr w:type="spellStart"/>
            <w:proofErr w:type="gramStart"/>
            <w:r>
              <w:t>Дифферен-цированный</w:t>
            </w:r>
            <w:proofErr w:type="spellEnd"/>
            <w:proofErr w:type="gramEnd"/>
            <w:r>
              <w:t xml:space="preserve"> платеж</w:t>
            </w:r>
          </w:p>
        </w:tc>
        <w:tc>
          <w:tcPr>
            <w:tcW w:w="2126" w:type="dxa"/>
          </w:tcPr>
          <w:p w:rsidR="00E27F74" w:rsidRDefault="00B6627B" w:rsidP="004E7F6B">
            <w:r>
              <w:t>Два поручительства физических и/или юридических лиц</w:t>
            </w:r>
          </w:p>
        </w:tc>
        <w:tc>
          <w:tcPr>
            <w:tcW w:w="2835" w:type="dxa"/>
          </w:tcPr>
          <w:p w:rsidR="00E27F74" w:rsidRDefault="00B6627B" w:rsidP="004E7F6B">
            <w:r>
              <w:t>1.Срок деятельности заемщика от 3 до 12 месяцев.</w:t>
            </w:r>
          </w:p>
          <w:p w:rsidR="00B6627B" w:rsidRDefault="00B6627B" w:rsidP="004E7F6B">
            <w:r>
              <w:t>2.</w:t>
            </w:r>
            <w:r w:rsidR="00F81520">
              <w:t>Участи в проекте собственными средствами</w:t>
            </w:r>
            <w:r>
              <w:t xml:space="preserve"> в размере не менее 30%</w:t>
            </w:r>
            <w:r w:rsidR="00F81520">
              <w:t xml:space="preserve"> от общей стоимости проекта.</w:t>
            </w:r>
          </w:p>
          <w:p w:rsidR="00F81520" w:rsidRDefault="00F81520" w:rsidP="004E7F6B">
            <w:r>
              <w:t>3. Предоставление Бизнес-плана и документальное подтверждение собственного участия в проекте.</w:t>
            </w:r>
          </w:p>
        </w:tc>
      </w:tr>
      <w:tr w:rsidR="00F81520" w:rsidTr="004E7F6B">
        <w:tc>
          <w:tcPr>
            <w:tcW w:w="2145" w:type="dxa"/>
          </w:tcPr>
          <w:p w:rsidR="00F81520" w:rsidRDefault="00F81520" w:rsidP="004E7F6B">
            <w:r>
              <w:t>«</w:t>
            </w:r>
            <w:proofErr w:type="spellStart"/>
            <w:r>
              <w:t>Беззалоговый</w:t>
            </w:r>
            <w:proofErr w:type="spellEnd"/>
            <w:r>
              <w:t>»</w:t>
            </w:r>
          </w:p>
        </w:tc>
        <w:tc>
          <w:tcPr>
            <w:tcW w:w="1805" w:type="dxa"/>
          </w:tcPr>
          <w:p w:rsidR="00F81520" w:rsidRDefault="00F81520" w:rsidP="004E7F6B">
            <w:r>
              <w:t>От 1 до 12 мес.</w:t>
            </w:r>
          </w:p>
        </w:tc>
        <w:tc>
          <w:tcPr>
            <w:tcW w:w="1621" w:type="dxa"/>
          </w:tcPr>
          <w:p w:rsidR="00F81520" w:rsidRDefault="00F81520" w:rsidP="004E7F6B">
            <w:r>
              <w:t>От 50 до 300</w:t>
            </w:r>
          </w:p>
        </w:tc>
        <w:tc>
          <w:tcPr>
            <w:tcW w:w="1943" w:type="dxa"/>
          </w:tcPr>
          <w:p w:rsidR="00F81520" w:rsidRDefault="00F81520" w:rsidP="004E7F6B">
            <w:r>
              <w:t>Пополнение оборотных средств, приобретение основных средств</w:t>
            </w:r>
          </w:p>
        </w:tc>
        <w:tc>
          <w:tcPr>
            <w:tcW w:w="1276" w:type="dxa"/>
          </w:tcPr>
          <w:p w:rsidR="00F81520" w:rsidRDefault="00F81520" w:rsidP="004E7F6B">
            <w:r>
              <w:t>10</w:t>
            </w:r>
          </w:p>
        </w:tc>
        <w:tc>
          <w:tcPr>
            <w:tcW w:w="1559" w:type="dxa"/>
          </w:tcPr>
          <w:p w:rsidR="00F81520" w:rsidRDefault="00F81520" w:rsidP="004E7F6B">
            <w:proofErr w:type="spellStart"/>
            <w:r>
              <w:t>Аннуитетный</w:t>
            </w:r>
            <w:proofErr w:type="spellEnd"/>
            <w:r>
              <w:t xml:space="preserve"> платеж</w:t>
            </w:r>
          </w:p>
        </w:tc>
        <w:tc>
          <w:tcPr>
            <w:tcW w:w="2126" w:type="dxa"/>
          </w:tcPr>
          <w:p w:rsidR="00F81520" w:rsidRDefault="00F81520" w:rsidP="004E7F6B">
            <w:r>
              <w:t>Два поручительства физических и/или юридических лиц</w:t>
            </w:r>
          </w:p>
        </w:tc>
        <w:tc>
          <w:tcPr>
            <w:tcW w:w="2835" w:type="dxa"/>
          </w:tcPr>
          <w:p w:rsidR="00F81520" w:rsidRDefault="00F81520" w:rsidP="004E7F6B">
            <w:r>
              <w:t xml:space="preserve">Срок деятельности заемщика </w:t>
            </w:r>
            <w:r w:rsidR="007A3ED6">
              <w:t xml:space="preserve">свыше </w:t>
            </w:r>
            <w:proofErr w:type="gramStart"/>
            <w:r w:rsidR="007A3ED6">
              <w:t xml:space="preserve">6 </w:t>
            </w:r>
            <w:r>
              <w:t xml:space="preserve"> месяцев</w:t>
            </w:r>
            <w:proofErr w:type="gramEnd"/>
            <w:r>
              <w:t>.</w:t>
            </w:r>
          </w:p>
          <w:p w:rsidR="00F81520" w:rsidRDefault="00F81520" w:rsidP="004E7F6B"/>
        </w:tc>
      </w:tr>
      <w:tr w:rsidR="007A3ED6" w:rsidTr="004E7F6B">
        <w:tc>
          <w:tcPr>
            <w:tcW w:w="2145" w:type="dxa"/>
          </w:tcPr>
          <w:p w:rsidR="007A3ED6" w:rsidRDefault="007A3ED6" w:rsidP="004E7F6B">
            <w:r>
              <w:t>«Бизнес-оборот»</w:t>
            </w:r>
          </w:p>
        </w:tc>
        <w:tc>
          <w:tcPr>
            <w:tcW w:w="1805" w:type="dxa"/>
          </w:tcPr>
          <w:p w:rsidR="007A3ED6" w:rsidRDefault="007A3ED6" w:rsidP="004E7F6B">
            <w:r>
              <w:t>От 3 до 12 мес.</w:t>
            </w:r>
          </w:p>
        </w:tc>
        <w:tc>
          <w:tcPr>
            <w:tcW w:w="1621" w:type="dxa"/>
          </w:tcPr>
          <w:p w:rsidR="007A3ED6" w:rsidRDefault="007A3ED6" w:rsidP="004E7F6B">
            <w:r>
              <w:t>От 100 до 1000</w:t>
            </w:r>
          </w:p>
        </w:tc>
        <w:tc>
          <w:tcPr>
            <w:tcW w:w="1943" w:type="dxa"/>
          </w:tcPr>
          <w:p w:rsidR="007A3ED6" w:rsidRDefault="007A3ED6" w:rsidP="004E7F6B">
            <w:r>
              <w:t>Пополнение оборотных средств</w:t>
            </w:r>
          </w:p>
        </w:tc>
        <w:tc>
          <w:tcPr>
            <w:tcW w:w="1276" w:type="dxa"/>
          </w:tcPr>
          <w:p w:rsidR="007A3ED6" w:rsidRDefault="007A3ED6" w:rsidP="004E7F6B">
            <w:r>
              <w:t>10</w:t>
            </w:r>
          </w:p>
        </w:tc>
        <w:tc>
          <w:tcPr>
            <w:tcW w:w="1559" w:type="dxa"/>
          </w:tcPr>
          <w:p w:rsidR="007A3ED6" w:rsidRDefault="007A3ED6" w:rsidP="004E7F6B">
            <w:proofErr w:type="spellStart"/>
            <w:r>
              <w:t>Аннуитетный</w:t>
            </w:r>
            <w:proofErr w:type="spellEnd"/>
            <w:r>
              <w:t xml:space="preserve"> платеж</w:t>
            </w:r>
          </w:p>
        </w:tc>
        <w:tc>
          <w:tcPr>
            <w:tcW w:w="2126" w:type="dxa"/>
          </w:tcPr>
          <w:p w:rsidR="007A3ED6" w:rsidRDefault="007A3ED6" w:rsidP="004E7F6B">
            <w:r>
              <w:t>Залог имущества, не менее одного поручителя</w:t>
            </w:r>
          </w:p>
        </w:tc>
        <w:tc>
          <w:tcPr>
            <w:tcW w:w="2835" w:type="dxa"/>
          </w:tcPr>
          <w:p w:rsidR="007A3ED6" w:rsidRDefault="007A3ED6" w:rsidP="004E7F6B">
            <w:r>
              <w:t xml:space="preserve">Срок деятельности заемщика свыше </w:t>
            </w:r>
            <w:proofErr w:type="gramStart"/>
            <w:r>
              <w:t>6  месяцев</w:t>
            </w:r>
            <w:proofErr w:type="gramEnd"/>
            <w:r>
              <w:t>.</w:t>
            </w:r>
          </w:p>
          <w:p w:rsidR="007A3ED6" w:rsidRDefault="007A3ED6" w:rsidP="004E7F6B"/>
        </w:tc>
      </w:tr>
      <w:tr w:rsidR="007A3ED6" w:rsidTr="004E7F6B">
        <w:tc>
          <w:tcPr>
            <w:tcW w:w="2145" w:type="dxa"/>
          </w:tcPr>
          <w:p w:rsidR="007A3ED6" w:rsidRDefault="007A3ED6" w:rsidP="004E7F6B">
            <w:r>
              <w:t>«Бизнес-Инвест»</w:t>
            </w:r>
          </w:p>
        </w:tc>
        <w:tc>
          <w:tcPr>
            <w:tcW w:w="1805" w:type="dxa"/>
          </w:tcPr>
          <w:p w:rsidR="007A3ED6" w:rsidRDefault="007A3ED6" w:rsidP="004E7F6B">
            <w:r>
              <w:t>От 3 до 12 мес.</w:t>
            </w:r>
          </w:p>
        </w:tc>
        <w:tc>
          <w:tcPr>
            <w:tcW w:w="1621" w:type="dxa"/>
          </w:tcPr>
          <w:p w:rsidR="007A3ED6" w:rsidRDefault="007A3ED6" w:rsidP="004E7F6B">
            <w:r>
              <w:t>От 100 до 1000</w:t>
            </w:r>
          </w:p>
        </w:tc>
        <w:tc>
          <w:tcPr>
            <w:tcW w:w="1943" w:type="dxa"/>
          </w:tcPr>
          <w:p w:rsidR="007A3ED6" w:rsidRDefault="007A3ED6" w:rsidP="004E7F6B">
            <w:r>
              <w:t>Приобретение основных средств</w:t>
            </w:r>
          </w:p>
        </w:tc>
        <w:tc>
          <w:tcPr>
            <w:tcW w:w="1276" w:type="dxa"/>
          </w:tcPr>
          <w:p w:rsidR="007A3ED6" w:rsidRDefault="007A3ED6" w:rsidP="004E7F6B">
            <w:r>
              <w:t>8,25</w:t>
            </w:r>
          </w:p>
        </w:tc>
        <w:tc>
          <w:tcPr>
            <w:tcW w:w="1559" w:type="dxa"/>
          </w:tcPr>
          <w:p w:rsidR="007A3ED6" w:rsidRDefault="007A3ED6" w:rsidP="004E7F6B">
            <w:proofErr w:type="spellStart"/>
            <w:proofErr w:type="gramStart"/>
            <w:r>
              <w:t>Дифферен-цированный</w:t>
            </w:r>
            <w:proofErr w:type="spellEnd"/>
            <w:proofErr w:type="gramEnd"/>
            <w:r>
              <w:t xml:space="preserve"> платеж</w:t>
            </w:r>
          </w:p>
        </w:tc>
        <w:tc>
          <w:tcPr>
            <w:tcW w:w="2126" w:type="dxa"/>
          </w:tcPr>
          <w:p w:rsidR="007A3ED6" w:rsidRDefault="007A3ED6" w:rsidP="004E7F6B">
            <w:r>
              <w:t>Залог имущества, не менее одного поручителя</w:t>
            </w:r>
          </w:p>
        </w:tc>
        <w:tc>
          <w:tcPr>
            <w:tcW w:w="2835" w:type="dxa"/>
          </w:tcPr>
          <w:p w:rsidR="007A3ED6" w:rsidRDefault="007A3ED6" w:rsidP="004E7F6B">
            <w:r>
              <w:t xml:space="preserve">Срок деятельности заемщика свыше </w:t>
            </w:r>
            <w:proofErr w:type="gramStart"/>
            <w:r>
              <w:t>6  месяцев</w:t>
            </w:r>
            <w:proofErr w:type="gramEnd"/>
            <w:r>
              <w:t>.</w:t>
            </w:r>
          </w:p>
          <w:p w:rsidR="007A3ED6" w:rsidRDefault="007A3ED6" w:rsidP="004E7F6B"/>
        </w:tc>
      </w:tr>
      <w:tr w:rsidR="007A3ED6" w:rsidTr="004E7F6B">
        <w:tc>
          <w:tcPr>
            <w:tcW w:w="2145" w:type="dxa"/>
          </w:tcPr>
          <w:p w:rsidR="007A3ED6" w:rsidRDefault="007A3ED6" w:rsidP="004E7F6B">
            <w:r>
              <w:t>«Фермер»</w:t>
            </w:r>
          </w:p>
        </w:tc>
        <w:tc>
          <w:tcPr>
            <w:tcW w:w="1805" w:type="dxa"/>
          </w:tcPr>
          <w:p w:rsidR="007A3ED6" w:rsidRDefault="007A3ED6" w:rsidP="004E7F6B">
            <w:r>
              <w:t>От 3 до 12 мес.</w:t>
            </w:r>
          </w:p>
        </w:tc>
        <w:tc>
          <w:tcPr>
            <w:tcW w:w="1621" w:type="dxa"/>
          </w:tcPr>
          <w:p w:rsidR="007A3ED6" w:rsidRDefault="007A3ED6" w:rsidP="004E7F6B">
            <w:r>
              <w:t>От 100 до 1000</w:t>
            </w:r>
          </w:p>
        </w:tc>
        <w:tc>
          <w:tcPr>
            <w:tcW w:w="1943" w:type="dxa"/>
          </w:tcPr>
          <w:p w:rsidR="007A3ED6" w:rsidRDefault="007A3ED6" w:rsidP="004E7F6B">
            <w:r>
              <w:t>Пополнение оборотных средств</w:t>
            </w:r>
          </w:p>
        </w:tc>
        <w:tc>
          <w:tcPr>
            <w:tcW w:w="1276" w:type="dxa"/>
          </w:tcPr>
          <w:p w:rsidR="007A3ED6" w:rsidRDefault="007A3ED6" w:rsidP="004E7F6B">
            <w:r>
              <w:t>6,25</w:t>
            </w:r>
          </w:p>
        </w:tc>
        <w:tc>
          <w:tcPr>
            <w:tcW w:w="1559" w:type="dxa"/>
          </w:tcPr>
          <w:p w:rsidR="007A3ED6" w:rsidRDefault="007A3ED6" w:rsidP="004E7F6B">
            <w:proofErr w:type="spellStart"/>
            <w:proofErr w:type="gramStart"/>
            <w:r>
              <w:t>Дифферен-цированный</w:t>
            </w:r>
            <w:proofErr w:type="spellEnd"/>
            <w:proofErr w:type="gramEnd"/>
            <w:r>
              <w:t xml:space="preserve"> платеж</w:t>
            </w:r>
          </w:p>
        </w:tc>
        <w:tc>
          <w:tcPr>
            <w:tcW w:w="2126" w:type="dxa"/>
          </w:tcPr>
          <w:p w:rsidR="007A3ED6" w:rsidRDefault="007A3ED6" w:rsidP="004E7F6B">
            <w:r>
              <w:t>Залог имущества, не менее одного поручителя</w:t>
            </w:r>
          </w:p>
        </w:tc>
        <w:tc>
          <w:tcPr>
            <w:tcW w:w="2835" w:type="dxa"/>
          </w:tcPr>
          <w:p w:rsidR="007A3ED6" w:rsidRDefault="007A3ED6" w:rsidP="004E7F6B">
            <w:r>
              <w:t xml:space="preserve">Срок деятельности заемщика свыше </w:t>
            </w:r>
            <w:proofErr w:type="gramStart"/>
            <w:r>
              <w:t>6  месяцев</w:t>
            </w:r>
            <w:proofErr w:type="gramEnd"/>
            <w:r w:rsidR="004E7F6B">
              <w:t xml:space="preserve"> в сфере производства, переработки и хранения сельхозпродукции</w:t>
            </w:r>
            <w:r>
              <w:t>.</w:t>
            </w:r>
          </w:p>
          <w:p w:rsidR="007A3ED6" w:rsidRDefault="007A3ED6" w:rsidP="004E7F6B"/>
        </w:tc>
      </w:tr>
    </w:tbl>
    <w:p w:rsidR="002F6B49" w:rsidRDefault="004E7F6B" w:rsidP="004E7F6B">
      <w:pPr>
        <w:spacing w:before="120"/>
        <w:jc w:val="center"/>
        <w:rPr>
          <w:b/>
          <w:sz w:val="24"/>
          <w:szCs w:val="24"/>
        </w:rPr>
      </w:pPr>
      <w:r w:rsidRPr="004E7F6B">
        <w:rPr>
          <w:b/>
          <w:sz w:val="24"/>
          <w:szCs w:val="24"/>
        </w:rPr>
        <w:t xml:space="preserve">Виды и условия предоставления </w:t>
      </w:r>
      <w:proofErr w:type="spellStart"/>
      <w:r w:rsidRPr="004E7F6B">
        <w:rPr>
          <w:b/>
          <w:sz w:val="24"/>
          <w:szCs w:val="24"/>
        </w:rPr>
        <w:t>микрозаймов</w:t>
      </w:r>
      <w:proofErr w:type="spellEnd"/>
      <w:r w:rsidRPr="004E7F6B">
        <w:rPr>
          <w:b/>
          <w:sz w:val="24"/>
          <w:szCs w:val="24"/>
        </w:rPr>
        <w:t xml:space="preserve"> некоммерческой организацией «Фонд микрофинансирования субъектов малого и среднего предпринимательства Краснодар</w:t>
      </w:r>
      <w:r>
        <w:rPr>
          <w:b/>
          <w:sz w:val="24"/>
          <w:szCs w:val="24"/>
        </w:rPr>
        <w:t>с</w:t>
      </w:r>
      <w:r w:rsidRPr="004E7F6B">
        <w:rPr>
          <w:b/>
          <w:sz w:val="24"/>
          <w:szCs w:val="24"/>
        </w:rPr>
        <w:t>кого края»</w:t>
      </w:r>
    </w:p>
    <w:p w:rsidR="000947AD" w:rsidRDefault="000947AD" w:rsidP="000947AD">
      <w:pPr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Обращаться по адресу: г. Краснодар, Красноармейская,43/Гоголя, 68. Тел. (861) 298-08-08</w:t>
      </w:r>
    </w:p>
    <w:p w:rsidR="000947AD" w:rsidRPr="004E7F6B" w:rsidRDefault="000947AD" w:rsidP="004E7F6B">
      <w:pPr>
        <w:spacing w:before="120"/>
        <w:jc w:val="center"/>
        <w:rPr>
          <w:b/>
          <w:sz w:val="24"/>
          <w:szCs w:val="24"/>
        </w:rPr>
      </w:pPr>
      <w:bookmarkStart w:id="0" w:name="_GoBack"/>
      <w:bookmarkEnd w:id="0"/>
    </w:p>
    <w:sectPr w:rsidR="000947AD" w:rsidRPr="004E7F6B" w:rsidSect="004E7F6B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43A7C"/>
    <w:multiLevelType w:val="hybridMultilevel"/>
    <w:tmpl w:val="2688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74"/>
    <w:rsid w:val="00090BE3"/>
    <w:rsid w:val="000947AD"/>
    <w:rsid w:val="0021303A"/>
    <w:rsid w:val="003B4A80"/>
    <w:rsid w:val="004E7F6B"/>
    <w:rsid w:val="007A3ED6"/>
    <w:rsid w:val="00B6627B"/>
    <w:rsid w:val="00E27F74"/>
    <w:rsid w:val="00F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097C-BBA7-451F-974D-01501D326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6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Колнооченко Елена Викторовна</dc:creator>
  <cp:keywords/>
  <dc:description/>
  <cp:lastModifiedBy>Колнооченко Елена Викторовна</cp:lastModifiedBy>
  <cp:revision>3</cp:revision>
  <dcterms:created xsi:type="dcterms:W3CDTF">2014-03-26T13:56:00Z</dcterms:created>
  <dcterms:modified xsi:type="dcterms:W3CDTF">2014-03-31T12:50:00Z</dcterms:modified>
</cp:coreProperties>
</file>