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948"/>
        <w:gridCol w:w="160"/>
        <w:gridCol w:w="974"/>
        <w:gridCol w:w="429"/>
        <w:gridCol w:w="420"/>
        <w:gridCol w:w="610"/>
        <w:gridCol w:w="531"/>
        <w:gridCol w:w="33"/>
        <w:gridCol w:w="112"/>
        <w:gridCol w:w="415"/>
        <w:gridCol w:w="38"/>
        <w:gridCol w:w="572"/>
        <w:gridCol w:w="36"/>
        <w:gridCol w:w="347"/>
        <w:gridCol w:w="993"/>
        <w:gridCol w:w="420"/>
        <w:gridCol w:w="63"/>
        <w:gridCol w:w="1926"/>
        <w:gridCol w:w="39"/>
      </w:tblGrid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2B0D87" w:rsidRDefault="002B0D87" w:rsidP="002B0D87">
            <w:pPr>
              <w:shd w:val="clear" w:color="auto" w:fill="FFFFFF"/>
              <w:spacing w:before="7" w:line="31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архитектуры и градостроительства администрации муниципального образования Гулькевичский район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200B3" w:rsidRDefault="008200B3" w:rsidP="008200B3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>Проект решения «О внесении изменения в решение 69 сессии V созыва Совета муниципального образования Гулькевичский район от 28 февраля 2014 года № 6 «Об утверждении схемы размещения рекламных  конструкций на территории муниципального образования Гулькевичский район»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9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687F65" w:rsidRDefault="00842494" w:rsidP="00202C7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F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="00D73F72" w:rsidRPr="00687F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</w:t>
            </w:r>
            <w:r w:rsidR="00202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73F72" w:rsidRPr="00687F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2A507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E3288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Схему размещения рекламных конструкций на территории муниципального образования Гулькевичский район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594C69" w:rsidRDefault="00D0323C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Упорядочение размещения рекламных конструкций на территории муниципального образования Гулькевичский район и в целях сохранения единого архитектурного облика сложившейся застройки муниципального образования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594C69" w:rsidRDefault="00225EF7" w:rsidP="00D0323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предполагает </w:t>
            </w:r>
            <w:r w:rsidR="00B750A4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5.8 статьи 19 Федерального закона от 13 марта 2006 года № 38-ФЗ «О рекламе» внесение изменений в утвержденную Схему размещения рекламных конструкций на территории муниципального образования Гулькевичский район</w:t>
            </w:r>
            <w:r w:rsidR="00D0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323C" w:rsidRPr="0066465E" w:rsidTr="00D0323C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D03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0323C" w:rsidRDefault="00D0323C" w:rsidP="00D0323C">
            <w:pPr>
              <w:ind w:firstLine="0"/>
              <w:rPr>
                <w:rFonts w:ascii="Times New Roman" w:hAnsi="Times New Roman" w:cs="Times New Roman"/>
              </w:rPr>
            </w:pPr>
          </w:p>
          <w:p w:rsidR="00D0323C" w:rsidRDefault="00D0323C" w:rsidP="00D032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воздействия:  средняя</w:t>
            </w:r>
          </w:p>
        </w:tc>
      </w:tr>
      <w:tr w:rsidR="00D0323C" w:rsidRPr="0066465E" w:rsidTr="00D0323C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3E7C0D" w:rsidRDefault="00D0323C" w:rsidP="002C27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C0D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23C" w:rsidRPr="0066465E" w:rsidTr="00D0323C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3E7C0D" w:rsidRDefault="00D0323C" w:rsidP="00D0323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Гулькевичский район обязанности для субъектов предпринимательской и инвестиционной деятельности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0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594C69" w:rsidRDefault="00D0323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Балацкая Зарина Салимовна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0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архитектуры и градостроительства,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главны</w:t>
            </w:r>
            <w:r>
              <w:rPr>
                <w:rFonts w:ascii="Times New Roman" w:hAnsi="Times New Roman"/>
                <w:sz w:val="28"/>
                <w:szCs w:val="28"/>
              </w:rPr>
              <w:t>й архитектор</w:t>
            </w:r>
          </w:p>
          <w:p w:rsidR="00D0323C" w:rsidRPr="00A938E9" w:rsidRDefault="00D0323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594C69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5-00-85                             Адрес электронной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F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arhi.gul@gulkevichi.com</w:t>
            </w:r>
            <w:r w:rsidRPr="00A938E9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8E3288" w:rsidRDefault="00D0323C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Схему размещения рекламных конструкций на территории муниципального образования Гулькевичский район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8E3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8E3288" w:rsidRDefault="00D0323C" w:rsidP="008E3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0323C" w:rsidRPr="0066465E" w:rsidTr="00801065">
        <w:trPr>
          <w:gridAfter w:val="1"/>
          <w:wAfter w:w="39" w:type="dxa"/>
          <w:trHeight w:val="80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D0323C" w:rsidRDefault="00D0323C" w:rsidP="00D0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3C">
              <w:rPr>
                <w:rFonts w:ascii="Times New Roman" w:hAnsi="Times New Roman" w:cs="Times New Roman"/>
                <w:sz w:val="28"/>
                <w:szCs w:val="28"/>
              </w:rPr>
              <w:t>В связи с развитием муниципального образования Гулькевичский район, а также в соответствии с поступившими обращениями от субъектов предпринимательской деятельности об установке новых рекламных конструкций. В связи с чем, возникла необходимость внесения изменений в схему размещения рекламных конструкций на территории муниципального образования. Решение об утверждении схемы размещения рекламных конструкций является правовым основанием для выдачи разрешения на установку и эксплуатацию рекламной конструкции, расположенной на частной территории, а также основанием для проведения конкурса на право заключения договора на установку и 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Гулькевичский район и на земельном участке государственная собственность на который не разграничена.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767B01" w:rsidRDefault="00D0323C" w:rsidP="00D0323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действующую схему размещения рекламных конструкций, в связи с поступившими обращениями в 2017-2018 гг от субъектов предпринимательской деятельности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2.3. Субъекты общественных отношений, заинтересованные в устранении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проблемы, их количественная оценка:</w:t>
            </w:r>
          </w:p>
          <w:p w:rsidR="00D0323C" w:rsidRPr="00767B01" w:rsidRDefault="00D0323C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D0323C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Юридические, физические лица или индивидуальные предприниматели (неограниченное количество, но не более 73, так как схемой предусмотрено 73 рекламных конструкций)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D0323C" w:rsidRPr="00461731" w:rsidRDefault="00D0323C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утвержденной в соответствии с нормами действующего законодательства схемы размещения рекламных конструкций приведет к ограничению деятельности юридических лиц и индивидуальных предпринимателей, осуществляющих деятельность на территории муниципального образования Гулькевичский район;</w:t>
            </w:r>
          </w:p>
          <w:p w:rsidR="00D0323C" w:rsidRPr="00D0323C" w:rsidRDefault="00D0323C" w:rsidP="00D0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3C">
              <w:rPr>
                <w:rFonts w:ascii="Times New Roman" w:hAnsi="Times New Roman" w:cs="Times New Roman"/>
                <w:sz w:val="28"/>
                <w:szCs w:val="28"/>
              </w:rPr>
              <w:t>- возникновение теневых доходом у организаций, наделенных правами оперативного управления или хозяйственного ведения на движимое имущество, на котором возможно размещение рекламных конструкций.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0D0ED3" w:rsidRDefault="00D0323C" w:rsidP="002A507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физических и юридических лиц о внесении изменений в Схему размещения рекламных конструкций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D0323C" w:rsidRPr="00594C69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Указанные проблемы могут быть решены посредством вмешательства органов местного самоуправления в лице администрации муниципального образования Гулькевичский район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D0323C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муниципальных образованиях Российской Федерации приняты нормативно-правовые акты о порядке утверждения схем размещения рекламных конструкций на территории муниципального образования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0323C" w:rsidRPr="0066465E" w:rsidTr="00D0323C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D0323C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«Консультант Плюс»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DF01BE" w:rsidRDefault="00D0323C" w:rsidP="00D0323C">
            <w:pPr>
              <w:ind w:firstLine="70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CF60B1" w:rsidRDefault="00D0323C" w:rsidP="00687F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D0323C" w:rsidRPr="004A34EF" w:rsidRDefault="00D0323C" w:rsidP="004A34EF">
            <w:pPr>
              <w:ind w:firstLine="0"/>
            </w:pP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D0323C" w:rsidRPr="0066465E" w:rsidTr="0080106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3925A9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1. Внесение изменений</w:t>
            </w:r>
            <w:r w:rsidRPr="002A5079">
              <w:rPr>
                <w:rFonts w:ascii="Times New Roman" w:hAnsi="Times New Roman" w:cs="Times New Roman"/>
              </w:rPr>
              <w:t xml:space="preserve"> в Схему размещения рекламных конструкций на территории муниципального образования Гулькевичский район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3925A9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С момента официального опубликования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3925A9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нуждается в проведении мониторинга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2B0D87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D0323C" w:rsidRDefault="00D0323C" w:rsidP="00D0323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  <w:r w:rsidRPr="002B0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202C79" w:rsidRDefault="00D0323C" w:rsidP="002B0D87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соответствии с Конституцией Российской Федерации, принята всенародным голосованием 12 декабря 1993 года («Российская газета» от 25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1993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 № 237); Градостроительным кодексом Российской Федерации от 29 декабря 2004 года № 190-ФЗ («Российская газета», № 290,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2004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«Собрание законодательства РФ», 3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2005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№ 1 (часть 1), ст. 16, «Парламентская газета», № 5-6, 14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2005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.); Федеральным законом от 6 октября 2003 года № 131-ФЗ «Об общих принципах организации местного самоуправления в Российской Федерации» («Российская газета», № 202, 8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2003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«Парламентская газета», № 186, 8 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2003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«Собрание законодательства РФ», № 40,        ст. 3822, 6 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2003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.); Федеральным законом от 29 декабря 2004 года       № 191-ФЗ «О введении в действие Градостроительного кодекса Российской Федерации» («Российская газета», № 290,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2004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«Собрание законодательства РФ», 3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2005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№ 1 (часть 1), ст. 17, «Парламентская газета», № 5-6, 14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2005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.); Федеральным законом от 27 июля 2010 № 210-ФЗ, Федеральный закон «О рекламе» от 13.03.2006 N 38-ФЗ, Федеральный закон "О защите конкуренции" от 26.07.2006 N 135-ФЗ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 xml:space="preserve">3.6. Индикаторы достижения целей предлагаемого правового </w:t>
            </w:r>
            <w:r w:rsidRPr="004A34EF">
              <w:rPr>
                <w:rFonts w:ascii="Times New Roman" w:hAnsi="Times New Roman" w:cs="Times New Roman"/>
              </w:rPr>
              <w:lastRenderedPageBreak/>
              <w:t>регулирования</w:t>
            </w:r>
            <w:bookmarkEnd w:id="3"/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3.7. Единица измерения индикаторов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3.8. Целевые значения индикаторов</w:t>
            </w:r>
          </w:p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D0323C" w:rsidRPr="0066465E" w:rsidTr="0080106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0323C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</w:rPr>
              <w:t>Упорядочение размещения рекламных конструкций на территории муниципального образования Гулькевичский район в целях сохранения единого архитектурного облика сложившейся застройки города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3925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рекламные конструкции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3925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3925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окончания 2018 года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 регулирования, источники информации для расчётов: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E802B2" w:rsidRDefault="00D0323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AE614D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 регулирования: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801065" w:rsidRDefault="00D0323C" w:rsidP="004A34EF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B750A4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50A4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0323C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>Юридические, физические лица или индивидуальные предприниматели (неограниченное количество, но не более 73, так как схемой предусмотрено 73 рекламных конструкций)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0323C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>неограниченное количество, но не более 73, так как схемой предусмотрено 73 рекламных конструкций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D0323C" w:rsidRDefault="00D0323C" w:rsidP="00D032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 xml:space="preserve">Приложение к </w:t>
            </w:r>
            <w:r>
              <w:rPr>
                <w:rFonts w:ascii="Times New Roman" w:hAnsi="Times New Roman" w:cs="Times New Roman"/>
              </w:rPr>
              <w:t xml:space="preserve">проекту </w:t>
            </w:r>
            <w:r w:rsidRPr="00D0323C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я</w:t>
            </w:r>
            <w:r w:rsidRPr="00D0323C">
              <w:rPr>
                <w:rFonts w:ascii="Times New Roman" w:hAnsi="Times New Roman" w:cs="Times New Roman"/>
              </w:rPr>
              <w:t xml:space="preserve"> сессии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2F1D3A" w:rsidRDefault="00D0323C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79"/>
              <w:gridCol w:w="1701"/>
              <w:gridCol w:w="2410"/>
              <w:gridCol w:w="1843"/>
              <w:gridCol w:w="1643"/>
            </w:tblGrid>
            <w:tr w:rsidR="00D0323C" w:rsidRPr="00461731" w:rsidTr="00D0323C">
              <w:tc>
                <w:tcPr>
                  <w:tcW w:w="2279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701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410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843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643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D0323C" w:rsidRPr="007E0E66" w:rsidTr="004A34EF">
              <w:tc>
                <w:tcPr>
                  <w:tcW w:w="9876" w:type="dxa"/>
                  <w:gridSpan w:val="5"/>
                </w:tcPr>
                <w:p w:rsidR="00D0323C" w:rsidRPr="00C23614" w:rsidRDefault="00D0323C" w:rsidP="002A5079">
                  <w:pPr>
                    <w:pStyle w:val="1"/>
                    <w:spacing w:before="0" w:after="0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 xml:space="preserve"> Администрация муниципального образования Гулькевичский район</w:t>
                  </w:r>
                </w:p>
              </w:tc>
            </w:tr>
            <w:tr w:rsidR="00D0323C" w:rsidRPr="00461731" w:rsidTr="00D0323C">
              <w:tc>
                <w:tcPr>
                  <w:tcW w:w="2279" w:type="dxa"/>
                </w:tcPr>
                <w:p w:rsidR="00D0323C" w:rsidRPr="00FC51D4" w:rsidRDefault="00D0323C" w:rsidP="002A507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 xml:space="preserve">1. </w:t>
                  </w:r>
                  <w:r>
                    <w:rPr>
                      <w:rFonts w:ascii="Times New Roman" w:hAnsi="Times New Roman"/>
                    </w:rPr>
                    <w:t xml:space="preserve">Утверждение схемы размещения </w:t>
                  </w:r>
                  <w:r>
                    <w:rPr>
                      <w:rFonts w:ascii="Times New Roman" w:hAnsi="Times New Roman"/>
                    </w:rPr>
                    <w:lastRenderedPageBreak/>
                    <w:t>рекламных конструкций на территории муниципального образования Гулькевичский район</w:t>
                  </w:r>
                </w:p>
              </w:tc>
              <w:tc>
                <w:tcPr>
                  <w:tcW w:w="1701" w:type="dxa"/>
                </w:tcPr>
                <w:p w:rsidR="00D0323C" w:rsidRPr="00FC51D4" w:rsidRDefault="00D0323C" w:rsidP="004A34E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изменяемая</w:t>
                  </w:r>
                </w:p>
              </w:tc>
              <w:tc>
                <w:tcPr>
                  <w:tcW w:w="2410" w:type="dxa"/>
                </w:tcPr>
                <w:p w:rsidR="00D0323C" w:rsidRPr="00D0323C" w:rsidRDefault="00D0323C" w:rsidP="002A5079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D0323C">
                    <w:rPr>
                      <w:rFonts w:ascii="Times New Roman" w:hAnsi="Times New Roman" w:cs="Times New Roman"/>
                    </w:rPr>
                    <w:t>Согласно порядку утверждения схемы</w:t>
                  </w:r>
                </w:p>
              </w:tc>
              <w:tc>
                <w:tcPr>
                  <w:tcW w:w="1843" w:type="dxa"/>
                </w:tcPr>
                <w:p w:rsidR="00D0323C" w:rsidRPr="00D0323C" w:rsidRDefault="00D0323C" w:rsidP="004A34E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D0323C">
                    <w:rPr>
                      <w:rFonts w:ascii="Times New Roman" w:hAnsi="Times New Roman" w:cs="Times New Roman"/>
                    </w:rPr>
                    <w:t>Не предполагается</w:t>
                  </w:r>
                </w:p>
              </w:tc>
              <w:tc>
                <w:tcPr>
                  <w:tcW w:w="1643" w:type="dxa"/>
                </w:tcPr>
                <w:p w:rsidR="00D0323C" w:rsidRPr="00461731" w:rsidRDefault="00D0323C" w:rsidP="004A34E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323C">
                    <w:rPr>
                      <w:rFonts w:ascii="Times New Roman" w:hAnsi="Times New Roman" w:cs="Times New Roman"/>
                    </w:rPr>
                    <w:t>Не предполагает</w:t>
                  </w:r>
                  <w:r w:rsidRPr="00D0323C">
                    <w:rPr>
                      <w:rFonts w:ascii="Times New Roman" w:hAnsi="Times New Roman" w:cs="Times New Roman"/>
                    </w:rPr>
                    <w:lastRenderedPageBreak/>
                    <w:t>ся</w:t>
                  </w:r>
                </w:p>
              </w:tc>
            </w:tr>
          </w:tbl>
          <w:p w:rsidR="00D0323C" w:rsidRPr="003A0F35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D0323C" w:rsidRPr="009868B7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0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6.1. Наименование функции (полномочия, обязанности или права) 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пунктом 5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  <w:p w:rsidR="00D0323C" w:rsidRPr="004A34EF" w:rsidRDefault="00D0323C" w:rsidP="004A34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6.2. Виды расходов (возможных поступлений бюджета муниципального образования Гулькевичский район)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млн. руб.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0323C" w:rsidRPr="00CB3461" w:rsidRDefault="00D0323C" w:rsidP="004A34EF">
            <w:pPr>
              <w:pStyle w:val="1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Администрация муниципального образования Гулькевичский район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034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Default="00D0323C" w:rsidP="004A34EF">
            <w:pPr>
              <w:ind w:firstLine="0"/>
              <w:rPr>
                <w:rFonts w:ascii="Times New Roman" w:hAnsi="Times New Roman" w:cs="Times New Roman"/>
              </w:rPr>
            </w:pPr>
          </w:p>
          <w:p w:rsidR="00D0323C" w:rsidRDefault="00D0323C" w:rsidP="004A34EF">
            <w:pPr>
              <w:ind w:firstLine="0"/>
              <w:rPr>
                <w:rFonts w:ascii="Times New Roman" w:hAnsi="Times New Roman" w:cs="Times New Roman"/>
              </w:rPr>
            </w:pPr>
          </w:p>
          <w:p w:rsidR="00D0323C" w:rsidRPr="004A34EF" w:rsidRDefault="00D0323C" w:rsidP="004A34EF">
            <w:pPr>
              <w:ind w:firstLine="0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Единовременные расходы в ____ 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Периодические расходы за период ____ гг.: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Возможные доходы за период ____ гг.: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E6FE8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единовременные расходы за период _201</w:t>
            </w:r>
            <w:r>
              <w:rPr>
                <w:rFonts w:ascii="Times New Roman" w:hAnsi="Times New Roman" w:cs="Times New Roman"/>
              </w:rPr>
              <w:t>8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E6FE8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периодические расходы за период  201</w:t>
            </w:r>
            <w:r>
              <w:rPr>
                <w:rFonts w:ascii="Times New Roman" w:hAnsi="Times New Roman" w:cs="Times New Roman"/>
              </w:rPr>
              <w:t>8</w:t>
            </w:r>
            <w:r w:rsidRPr="004A34EF">
              <w:rPr>
                <w:rFonts w:ascii="Times New Roman" w:hAnsi="Times New Roman" w:cs="Times New Roman"/>
              </w:rPr>
              <w:t xml:space="preserve"> 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E6FE8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возможные доходы за период  201</w:t>
            </w:r>
            <w:r>
              <w:rPr>
                <w:rFonts w:ascii="Times New Roman" w:hAnsi="Times New Roman" w:cs="Times New Roman"/>
              </w:rPr>
              <w:t>8</w:t>
            </w:r>
            <w:r w:rsidRPr="004A34EF">
              <w:rPr>
                <w:rFonts w:ascii="Times New Roman" w:hAnsi="Times New Roman" w:cs="Times New Roman"/>
              </w:rPr>
              <w:t xml:space="preserve"> 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Утвержденная схема размещения рекламных конструкций муниципального образования Гулькевичский район является правовым основание для выдачи разрешений на установку и эксплуатацию рекламных конструкций (73 р.к.* 3 000 руб. = 219 000 руб. государственная пошлина), также схема является основанием для проведения конкурса на право заключения договора на установку и эксплуатацию рекламной конструкции на муниципальном имуществе, который также предполагает поступления в бюджет)</w:t>
            </w:r>
          </w:p>
          <w:p w:rsidR="00D0323C" w:rsidRPr="00D0323C" w:rsidRDefault="00D0323C" w:rsidP="00D0323C"/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 введением предлагаемого правового регулирования: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5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 Изменение обязанностей (ограничений) потенциальных адресатов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предлагаемого правового регулирования и связанные с ними дополнительные расходы (доходы):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7.1. Группы потенциальных адресатов предлагаемого правового регулирования</w:t>
            </w:r>
          </w:p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подпунктом 4.1 пункта 4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(с указанием соответствующих положений проекта муниципального нормативного</w:t>
            </w:r>
          </w:p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правового акта)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  <w:r w:rsidRPr="004A34EF">
              <w:rPr>
                <w:rFonts w:ascii="Times New Roman" w:hAnsi="Times New Roman" w:cs="Times New Roman"/>
              </w:rPr>
              <w:t>Количественная оценка, млн. руб.</w:t>
            </w:r>
          </w:p>
        </w:tc>
      </w:tr>
      <w:tr w:rsidR="00D0323C" w:rsidRPr="0066465E" w:rsidTr="00801065">
        <w:trPr>
          <w:gridAfter w:val="1"/>
          <w:wAfter w:w="39" w:type="dxa"/>
          <w:trHeight w:val="355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>Юридические, физические лица или индивидуальные предприниматели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F332A5" w:rsidRDefault="00D0323C" w:rsidP="00F332A5">
            <w:pPr>
              <w:ind w:firstLine="0"/>
              <w:jc w:val="left"/>
            </w:pPr>
            <w:r>
              <w:t>Возможность осуществлять установку рекламных конструкций, в соответствии со схемой (73 р.к., предыдущая публикация – 71 р.к)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связанные с изготовлением (приобретением) и установкой рекламной конструкции, оплатой государственной пошлины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оплате госпошлины – 219 тыс. руб. Расходы, связанные с изготовлением (приобретением) и установкой рекламной конструкции рассчитать не представляется возможным, т.к. стоимость зависит от типа конструкций и страны производителя конструкции. Доход от использования рекламной конструкции рассчитать не представляется возможным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1A11BA" w:rsidRDefault="00D0323C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D0323C" w:rsidRPr="0066465E" w:rsidTr="00801065">
        <w:trPr>
          <w:gridAfter w:val="1"/>
          <w:wAfter w:w="39" w:type="dxa"/>
          <w:trHeight w:val="299"/>
          <w:jc w:val="center"/>
        </w:trPr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0323C" w:rsidRPr="0076484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323C" w:rsidRPr="00764841" w:rsidRDefault="00D0323C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0323C" w:rsidRPr="00112CB5" w:rsidRDefault="00D0323C" w:rsidP="00D032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9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2F1D3A" w:rsidRDefault="00D0323C" w:rsidP="00D0323C">
            <w:pPr>
              <w:pStyle w:val="a5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79288A" w:rsidRDefault="00D0323C" w:rsidP="007928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792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3C" w:rsidRPr="004A34EF" w:rsidRDefault="00D0323C" w:rsidP="00792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23C" w:rsidRPr="009C0AF6" w:rsidRDefault="00D0323C" w:rsidP="009C0AF6">
            <w:pPr>
              <w:rPr>
                <w:rFonts w:ascii="Times New Roman" w:hAnsi="Times New Roman" w:cs="Times New Roman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1A11BA" w:rsidRDefault="00D0323C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9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23C" w:rsidRPr="001A11BA" w:rsidRDefault="00D0323C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0323C" w:rsidRPr="002F1D3A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112CB5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данного нормативного правового акта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принятие данного нормативного правового акта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723DB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Увеличение численности потенциальных адресатов предлагаемого правового регулирования в среднесрочном периоде</w:t>
            </w:r>
            <w:r>
              <w:rPr>
                <w:rFonts w:ascii="Times New Roman" w:hAnsi="Times New Roman" w:cs="Times New Roman"/>
              </w:rPr>
              <w:t>(73 р.к., предыдущая редакции – 71)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723DB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 xml:space="preserve">Отсутствие </w:t>
            </w:r>
            <w:r>
              <w:rPr>
                <w:rFonts w:ascii="Times New Roman" w:hAnsi="Times New Roman" w:cs="Times New Roman"/>
              </w:rPr>
              <w:t xml:space="preserve">увеличения </w:t>
            </w:r>
            <w:r w:rsidRPr="00D723DB">
              <w:rPr>
                <w:rFonts w:ascii="Times New Roman" w:hAnsi="Times New Roman" w:cs="Times New Roman"/>
              </w:rPr>
              <w:t>численности потенциальных адресатов предлагаемого правового регулирования в среднесрочном периоде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возможности осуществления предпринимательской деятельности в сфере рекламы на конструкциях с получением стабильного дохода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5661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торгов на право заключения договоров на установку и эксплуатацию рекламных конструкций с последующим поступлением денежных средств в бюджет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</w:t>
            </w:r>
            <w:r w:rsidRPr="004A34EF">
              <w:rPr>
                <w:rFonts w:ascii="Times New Roman" w:hAnsi="Times New Roman" w:cs="Times New Roman"/>
              </w:rPr>
              <w:lastRenderedPageBreak/>
              <w:t>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723DB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lastRenderedPageBreak/>
              <w:t>Предполагаемая цель будет достигнута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Предполагаемая цель не будет </w:t>
            </w:r>
            <w:r>
              <w:rPr>
                <w:rFonts w:ascii="Times New Roman" w:hAnsi="Times New Roman" w:cs="Times New Roman"/>
              </w:rPr>
              <w:lastRenderedPageBreak/>
              <w:t>достигнута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0323C" w:rsidRDefault="00D0323C" w:rsidP="00D0323C">
            <w:pPr>
              <w:pStyle w:val="a5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>- отсутствие утвержденной в соответствии с нормами действующего законодательства схемы размещения рекламных конструкций приведет к ограничению деятельности юридических лиц и индивидуальных предпринимателей, осуществляющих деятельность на территории муниципального образования Гулькевичский район;</w:t>
            </w:r>
          </w:p>
          <w:p w:rsidR="00D0323C" w:rsidRDefault="00D0323C" w:rsidP="00D0323C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D0323C" w:rsidRPr="004A34EF" w:rsidRDefault="00D0323C" w:rsidP="00D0323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>- возникновение теневых доходом у организаций, наделенных правами оперативного управления или хозяйственного ведения на движимое имущество, на котором возможно размещение рекламных конструкций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07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112CB5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выбор варианта решения обусловлен выполнением требований Федерального законодательства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8971D9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D0323C" w:rsidRPr="008841C7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0B360B" w:rsidRDefault="00D0323C" w:rsidP="009C0A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данного проекта решения позволит упорядочить размещение рекламных конструкций на территории муниципального образования Гулькевичский район в целях сохранения единого архитектурного облика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сложившейся застройки муниципального образования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23C" w:rsidRPr="00461731" w:rsidRDefault="00D0323C" w:rsidP="00D032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сентябре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D0323C" w:rsidRPr="007C47B0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нет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D0323C" w:rsidRPr="007C47B0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C9452F" w:rsidRDefault="00D0323C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23C" w:rsidRPr="00461731" w:rsidRDefault="00D0323C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D0323C" w:rsidRPr="007C47B0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D0323C" w:rsidRPr="007C47B0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0323C" w:rsidRPr="009B5655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отсутствует.</w:t>
            </w: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7C47B0" w:rsidRDefault="00D0323C" w:rsidP="004A34EF">
            <w:pPr>
              <w:ind w:firstLine="0"/>
              <w:jc w:val="center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архитектуры и </w:t>
            </w:r>
          </w:p>
          <w:p w:rsidR="00D0323C" w:rsidRDefault="00D0323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градостроительства,</w:t>
            </w:r>
          </w:p>
          <w:p w:rsidR="00D0323C" w:rsidRDefault="00D0323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главны</w:t>
            </w:r>
            <w:r>
              <w:rPr>
                <w:rFonts w:ascii="Times New Roman" w:hAnsi="Times New Roman"/>
                <w:sz w:val="28"/>
                <w:szCs w:val="28"/>
              </w:rPr>
              <w:t>й архитектор</w:t>
            </w: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0323C" w:rsidRPr="007E4540" w:rsidRDefault="00D0323C" w:rsidP="004A34EF">
            <w:pPr>
              <w:pStyle w:val="a6"/>
            </w:pPr>
          </w:p>
        </w:tc>
        <w:tc>
          <w:tcPr>
            <w:tcW w:w="4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З.С. Балацкая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8010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17.08.2018 г.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Pr="001B640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Pr="001B6407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323C" w:rsidRPr="001B640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D0323C" w:rsidRPr="001B640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64B" w:rsidRPr="00BC798D" w:rsidRDefault="0076264B" w:rsidP="0017167C">
      <w:pPr>
        <w:pStyle w:val="a5"/>
      </w:pPr>
      <w:r>
        <w:separator/>
      </w:r>
    </w:p>
  </w:endnote>
  <w:endnote w:type="continuationSeparator" w:id="1">
    <w:p w:rsidR="0076264B" w:rsidRPr="00BC798D" w:rsidRDefault="0076264B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64B" w:rsidRPr="00BC798D" w:rsidRDefault="0076264B" w:rsidP="0017167C">
      <w:pPr>
        <w:pStyle w:val="a5"/>
      </w:pPr>
      <w:r>
        <w:separator/>
      </w:r>
    </w:p>
  </w:footnote>
  <w:footnote w:type="continuationSeparator" w:id="1">
    <w:p w:rsidR="0076264B" w:rsidRPr="00BC798D" w:rsidRDefault="0076264B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8B5AE7">
    <w:pPr>
      <w:pStyle w:val="a7"/>
      <w:jc w:val="center"/>
    </w:pPr>
    <w:fldSimple w:instr=" PAGE   \* MERGEFORMAT ">
      <w:r w:rsidR="00D0323C">
        <w:rPr>
          <w:noProof/>
        </w:rPr>
        <w:t>2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C4D00"/>
    <w:multiLevelType w:val="hybridMultilevel"/>
    <w:tmpl w:val="9E74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37023"/>
    <w:rsid w:val="00087878"/>
    <w:rsid w:val="00095038"/>
    <w:rsid w:val="000B360B"/>
    <w:rsid w:val="000D0ED3"/>
    <w:rsid w:val="000D7EDC"/>
    <w:rsid w:val="00112CB5"/>
    <w:rsid w:val="0013463F"/>
    <w:rsid w:val="00137399"/>
    <w:rsid w:val="001448CE"/>
    <w:rsid w:val="00160D79"/>
    <w:rsid w:val="00170BC1"/>
    <w:rsid w:val="0017167C"/>
    <w:rsid w:val="00173EDC"/>
    <w:rsid w:val="001A11BA"/>
    <w:rsid w:val="001B6407"/>
    <w:rsid w:val="001C797C"/>
    <w:rsid w:val="00202C79"/>
    <w:rsid w:val="002236B5"/>
    <w:rsid w:val="00225EF7"/>
    <w:rsid w:val="002A5079"/>
    <w:rsid w:val="002B0D87"/>
    <w:rsid w:val="002E160C"/>
    <w:rsid w:val="002F1D3A"/>
    <w:rsid w:val="002F2456"/>
    <w:rsid w:val="003422B5"/>
    <w:rsid w:val="00385FB6"/>
    <w:rsid w:val="00397EE1"/>
    <w:rsid w:val="003A0051"/>
    <w:rsid w:val="003A0F35"/>
    <w:rsid w:val="003B4ED0"/>
    <w:rsid w:val="004100D7"/>
    <w:rsid w:val="00443EC9"/>
    <w:rsid w:val="00461731"/>
    <w:rsid w:val="00477D17"/>
    <w:rsid w:val="004940F4"/>
    <w:rsid w:val="004A0AD7"/>
    <w:rsid w:val="004A34EF"/>
    <w:rsid w:val="004B0A7B"/>
    <w:rsid w:val="004B7FFB"/>
    <w:rsid w:val="004C1665"/>
    <w:rsid w:val="004D6FEB"/>
    <w:rsid w:val="00537045"/>
    <w:rsid w:val="00561CF8"/>
    <w:rsid w:val="00562583"/>
    <w:rsid w:val="00564A5B"/>
    <w:rsid w:val="005831B1"/>
    <w:rsid w:val="00594C69"/>
    <w:rsid w:val="00596381"/>
    <w:rsid w:val="005A5993"/>
    <w:rsid w:val="005C7F1D"/>
    <w:rsid w:val="005D3827"/>
    <w:rsid w:val="005D54F8"/>
    <w:rsid w:val="00612E16"/>
    <w:rsid w:val="00630E6A"/>
    <w:rsid w:val="00635ABD"/>
    <w:rsid w:val="00636423"/>
    <w:rsid w:val="0065227D"/>
    <w:rsid w:val="00653F49"/>
    <w:rsid w:val="00654180"/>
    <w:rsid w:val="006700BD"/>
    <w:rsid w:val="006700D4"/>
    <w:rsid w:val="00671A99"/>
    <w:rsid w:val="00672D85"/>
    <w:rsid w:val="00673DD7"/>
    <w:rsid w:val="00687956"/>
    <w:rsid w:val="00687F65"/>
    <w:rsid w:val="006E2E06"/>
    <w:rsid w:val="006F6AC9"/>
    <w:rsid w:val="006F6B08"/>
    <w:rsid w:val="0073371F"/>
    <w:rsid w:val="00736C39"/>
    <w:rsid w:val="007466F7"/>
    <w:rsid w:val="0075223C"/>
    <w:rsid w:val="0076264B"/>
    <w:rsid w:val="007628A2"/>
    <w:rsid w:val="00764841"/>
    <w:rsid w:val="00767B01"/>
    <w:rsid w:val="00777A09"/>
    <w:rsid w:val="0078194C"/>
    <w:rsid w:val="0079288A"/>
    <w:rsid w:val="007B44D4"/>
    <w:rsid w:val="007C391C"/>
    <w:rsid w:val="007C47B0"/>
    <w:rsid w:val="007D295C"/>
    <w:rsid w:val="007E0E66"/>
    <w:rsid w:val="007E4540"/>
    <w:rsid w:val="007E52FC"/>
    <w:rsid w:val="00801065"/>
    <w:rsid w:val="008051BA"/>
    <w:rsid w:val="0081133A"/>
    <w:rsid w:val="008200B3"/>
    <w:rsid w:val="0082580D"/>
    <w:rsid w:val="00836F43"/>
    <w:rsid w:val="00842494"/>
    <w:rsid w:val="0084448D"/>
    <w:rsid w:val="00867E51"/>
    <w:rsid w:val="0087760E"/>
    <w:rsid w:val="008841C7"/>
    <w:rsid w:val="0088509E"/>
    <w:rsid w:val="00895927"/>
    <w:rsid w:val="008971D9"/>
    <w:rsid w:val="008B34AF"/>
    <w:rsid w:val="008B5AE7"/>
    <w:rsid w:val="008C112C"/>
    <w:rsid w:val="008C14FA"/>
    <w:rsid w:val="008E059D"/>
    <w:rsid w:val="008E3288"/>
    <w:rsid w:val="008E5A0F"/>
    <w:rsid w:val="008F1168"/>
    <w:rsid w:val="00905EFF"/>
    <w:rsid w:val="009219D3"/>
    <w:rsid w:val="009317D7"/>
    <w:rsid w:val="00935D7E"/>
    <w:rsid w:val="00956064"/>
    <w:rsid w:val="00973559"/>
    <w:rsid w:val="009868B7"/>
    <w:rsid w:val="009971B2"/>
    <w:rsid w:val="009A5160"/>
    <w:rsid w:val="009B5655"/>
    <w:rsid w:val="009C0AF6"/>
    <w:rsid w:val="009D0581"/>
    <w:rsid w:val="009D493B"/>
    <w:rsid w:val="00A32DA9"/>
    <w:rsid w:val="00A421A2"/>
    <w:rsid w:val="00A447CA"/>
    <w:rsid w:val="00A461B3"/>
    <w:rsid w:val="00A52A72"/>
    <w:rsid w:val="00A72FFE"/>
    <w:rsid w:val="00A74E9E"/>
    <w:rsid w:val="00A91138"/>
    <w:rsid w:val="00A938E9"/>
    <w:rsid w:val="00A962BB"/>
    <w:rsid w:val="00AA1DF5"/>
    <w:rsid w:val="00AB172B"/>
    <w:rsid w:val="00AC73DC"/>
    <w:rsid w:val="00AD35E7"/>
    <w:rsid w:val="00AE614D"/>
    <w:rsid w:val="00B234AF"/>
    <w:rsid w:val="00B42A17"/>
    <w:rsid w:val="00B70831"/>
    <w:rsid w:val="00B750A4"/>
    <w:rsid w:val="00BE6FB3"/>
    <w:rsid w:val="00BF2838"/>
    <w:rsid w:val="00C23614"/>
    <w:rsid w:val="00C24F22"/>
    <w:rsid w:val="00C34657"/>
    <w:rsid w:val="00C410F1"/>
    <w:rsid w:val="00C44E59"/>
    <w:rsid w:val="00C45110"/>
    <w:rsid w:val="00C474A0"/>
    <w:rsid w:val="00C61C4C"/>
    <w:rsid w:val="00C85F60"/>
    <w:rsid w:val="00C9452F"/>
    <w:rsid w:val="00CB3461"/>
    <w:rsid w:val="00CB64A0"/>
    <w:rsid w:val="00CC0E26"/>
    <w:rsid w:val="00CD15FB"/>
    <w:rsid w:val="00CF60B1"/>
    <w:rsid w:val="00D0323C"/>
    <w:rsid w:val="00D22F14"/>
    <w:rsid w:val="00D30B40"/>
    <w:rsid w:val="00D33FE9"/>
    <w:rsid w:val="00D50FB7"/>
    <w:rsid w:val="00D5661C"/>
    <w:rsid w:val="00D67B21"/>
    <w:rsid w:val="00D723DB"/>
    <w:rsid w:val="00D73F72"/>
    <w:rsid w:val="00D7737A"/>
    <w:rsid w:val="00D81B50"/>
    <w:rsid w:val="00D86C2C"/>
    <w:rsid w:val="00D91664"/>
    <w:rsid w:val="00DA38D9"/>
    <w:rsid w:val="00DC627F"/>
    <w:rsid w:val="00DE6FE8"/>
    <w:rsid w:val="00DF01BE"/>
    <w:rsid w:val="00DF635A"/>
    <w:rsid w:val="00E04333"/>
    <w:rsid w:val="00E33302"/>
    <w:rsid w:val="00E51097"/>
    <w:rsid w:val="00E66784"/>
    <w:rsid w:val="00E802B2"/>
    <w:rsid w:val="00E81297"/>
    <w:rsid w:val="00E81786"/>
    <w:rsid w:val="00EB5335"/>
    <w:rsid w:val="00EB77B7"/>
    <w:rsid w:val="00EC5304"/>
    <w:rsid w:val="00EF407C"/>
    <w:rsid w:val="00EF7BE4"/>
    <w:rsid w:val="00F1439C"/>
    <w:rsid w:val="00F332A5"/>
    <w:rsid w:val="00F41207"/>
    <w:rsid w:val="00F51880"/>
    <w:rsid w:val="00F638C4"/>
    <w:rsid w:val="00F85562"/>
    <w:rsid w:val="00FA7870"/>
    <w:rsid w:val="00FB3FFE"/>
    <w:rsid w:val="00FB6A28"/>
    <w:rsid w:val="00FC51D4"/>
    <w:rsid w:val="00FC5ACA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10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17617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Chistyakov</cp:lastModifiedBy>
  <cp:revision>17</cp:revision>
  <cp:lastPrinted>2017-08-21T10:24:00Z</cp:lastPrinted>
  <dcterms:created xsi:type="dcterms:W3CDTF">2017-07-18T13:26:00Z</dcterms:created>
  <dcterms:modified xsi:type="dcterms:W3CDTF">2018-08-20T12:27:00Z</dcterms:modified>
</cp:coreProperties>
</file>