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8B5F64" w:rsidRPr="008B5F64" w:rsidRDefault="008B5F64" w:rsidP="008B5F64">
      <w:pPr>
        <w:spacing w:after="120" w:line="240" w:lineRule="atLeast"/>
        <w:jc w:val="center"/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</w:pPr>
      <w:r w:rsidRPr="008B5F64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Кадастровая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Pr="008B5F64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палата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Pr="008B5F64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поясняет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Pr="008B5F64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понятие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C04309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статуса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Pr="008B5F64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«временный»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C04309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в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C04309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сведениях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C04309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о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C04309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земельном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C04309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участке</w:t>
      </w:r>
      <w:r w:rsidR="00C147C6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</w:p>
    <w:p w:rsidR="00AF4921" w:rsidRPr="007F65C6" w:rsidRDefault="008B5F64" w:rsidP="00916639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573E31" wp14:editId="4AF9B9D0">
            <wp:simplePos x="0" y="0"/>
            <wp:positionH relativeFrom="column">
              <wp:posOffset>76200</wp:posOffset>
            </wp:positionH>
            <wp:positionV relativeFrom="paragraph">
              <wp:posOffset>275590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309" w:rsidRDefault="008B5F64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Федеральным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законом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24.07.2007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№221-ФЗ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(далее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Закон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кадастре)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впервые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было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введено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понятие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«временного»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статуса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сведений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8B5F64" w:rsidRDefault="008B5F64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постановке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учет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сведения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вносились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(ГКН)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как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временные.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чтобы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они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перестали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временными,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либо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ограничений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(обременений)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(например,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аренда)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такой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должны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зарегистрированы.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государственная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bookmarkStart w:id="0" w:name="_GoBack"/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bookmarkEnd w:id="0"/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была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осуществлена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течение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пяти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лет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момента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постановки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кадастровый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учет,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сведения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таких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объектах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исключались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присвоением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статуса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04309" w:rsidRPr="008B5F64">
        <w:rPr>
          <w:rFonts w:ascii="Segoe UI" w:eastAsia="Times New Roman" w:hAnsi="Segoe UI" w:cs="Segoe UI"/>
          <w:color w:val="000000"/>
          <w:sz w:val="24"/>
          <w:szCs w:val="24"/>
        </w:rPr>
        <w:t>«аннулированный».</w:t>
      </w:r>
    </w:p>
    <w:p w:rsidR="008B5F64" w:rsidRPr="008B5F64" w:rsidRDefault="00C04309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Поэтому,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емельные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участки,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поставленные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кадастровый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учет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января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2017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года,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которые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марта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2022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года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будут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зарегистрированы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собственности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аренды,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будут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исключены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Единого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реестра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B5F64" w:rsidRPr="008B5F64">
        <w:rPr>
          <w:rFonts w:ascii="Segoe UI" w:eastAsia="Times New Roman" w:hAnsi="Segoe UI" w:cs="Segoe UI"/>
          <w:color w:val="000000"/>
          <w:sz w:val="24"/>
          <w:szCs w:val="24"/>
        </w:rPr>
        <w:t>(ЕГРН).</w:t>
      </w:r>
      <w:proofErr w:type="gramEnd"/>
    </w:p>
    <w:p w:rsidR="008B5F64" w:rsidRPr="008B5F64" w:rsidRDefault="008B5F64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января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2017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года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кадастровый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учет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имущество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осуществляется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новым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правилам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соответствии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Федеральным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законом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недвижимости».</w:t>
      </w:r>
    </w:p>
    <w:p w:rsidR="008B5F64" w:rsidRPr="008B5F64" w:rsidRDefault="008B5F64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соответствии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Законом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статус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«временный»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сохранится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марта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2022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года,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момента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такой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либо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момента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аренды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участок,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находящийся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муниципальной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собственности,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позднее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марта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2022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года.</w:t>
      </w:r>
    </w:p>
    <w:p w:rsidR="008B5F64" w:rsidRPr="008B5F64" w:rsidRDefault="008B5F64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случае,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января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2017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года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успели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собрать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зарегистрировать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установленном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законом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порядке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«временный»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участок,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еще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можете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это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сделать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марта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2022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года.</w:t>
      </w:r>
    </w:p>
    <w:p w:rsidR="008B5F64" w:rsidRPr="008B5F64" w:rsidRDefault="008B5F64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Таким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образом,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чтобы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«потерять»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внесенные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ЕГРН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сведения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участках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необходимо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вовремя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обратиться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заявлением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многофункциональный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центр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зарегистрировать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ЕГРН.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этом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случае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«временный»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статус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кадастровых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сведений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изменяется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gramStart"/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proofErr w:type="gramEnd"/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«учтенный»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момента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образованный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либо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момента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аренды,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объектом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является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участок,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находящийся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муниципальной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собственности.</w:t>
      </w:r>
    </w:p>
    <w:p w:rsidR="008B5F64" w:rsidRPr="008B5F64" w:rsidRDefault="008B5F64" w:rsidP="008B5F6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Необходимо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отметить,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что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владельцев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участков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есть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право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снять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«временный»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участок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кадастрового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учета,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случае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был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образован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такой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«временный»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участок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результате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преобразования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(раздел,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объединение).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также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участок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был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образован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участков,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государственная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собственность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которые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разграничена,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исключение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ЕГРН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сведений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таком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участке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осуществляется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заявлению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представителя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уполномоченного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распоряжение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такими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земельными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участками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органа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власти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органа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местного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B5F64">
        <w:rPr>
          <w:rFonts w:ascii="Segoe UI" w:eastAsia="Times New Roman" w:hAnsi="Segoe UI" w:cs="Segoe UI"/>
          <w:color w:val="000000"/>
          <w:sz w:val="24"/>
          <w:szCs w:val="24"/>
        </w:rPr>
        <w:t>самоуправления.</w:t>
      </w:r>
    </w:p>
    <w:p w:rsidR="00DE5DA4" w:rsidRPr="00567BE2" w:rsidRDefault="00C04309" w:rsidP="00C147C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Дополнительно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сообщаем,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что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татус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земельного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участка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узнать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несложно.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Существует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публичная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кадастровая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карта,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которую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можно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найти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посредством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официального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портала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https://rosreestr.ru.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ней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содержится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вся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информация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земельных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участках,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содержащихся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ГКН.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также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можно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воспользоваться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сервисом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«Справочная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информация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объектам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режиме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online</w:t>
      </w:r>
      <w:proofErr w:type="spellEnd"/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официальном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портале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C04309">
        <w:rPr>
          <w:rFonts w:ascii="Segoe UI" w:eastAsia="Times New Roman" w:hAnsi="Segoe UI" w:cs="Segoe UI"/>
          <w:color w:val="000000"/>
          <w:sz w:val="24"/>
          <w:szCs w:val="24"/>
        </w:rPr>
        <w:t>https://rosreestr.ru/wps/portal/online_reque.</w:t>
      </w:r>
    </w:p>
    <w:p w:rsidR="004E66AB" w:rsidRPr="00193287" w:rsidRDefault="000D44E6" w:rsidP="00DE5D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630A4"/>
    <w:rsid w:val="000A7769"/>
    <w:rsid w:val="000C2010"/>
    <w:rsid w:val="000D44E6"/>
    <w:rsid w:val="000D6F7C"/>
    <w:rsid w:val="0011691D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E0992"/>
    <w:rsid w:val="0039281D"/>
    <w:rsid w:val="00392B32"/>
    <w:rsid w:val="003949CA"/>
    <w:rsid w:val="003A39A7"/>
    <w:rsid w:val="003A5632"/>
    <w:rsid w:val="003C54EC"/>
    <w:rsid w:val="003E4A7F"/>
    <w:rsid w:val="00455DA7"/>
    <w:rsid w:val="004B1B0C"/>
    <w:rsid w:val="004E66AB"/>
    <w:rsid w:val="00505D6B"/>
    <w:rsid w:val="005368E7"/>
    <w:rsid w:val="005538DC"/>
    <w:rsid w:val="00567BE2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878C0"/>
    <w:rsid w:val="007A0F82"/>
    <w:rsid w:val="007F65C6"/>
    <w:rsid w:val="0081313D"/>
    <w:rsid w:val="00837F78"/>
    <w:rsid w:val="0088141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D01E2"/>
    <w:rsid w:val="009D6052"/>
    <w:rsid w:val="009F0A10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B4606"/>
    <w:rsid w:val="00BB578A"/>
    <w:rsid w:val="00C02CFD"/>
    <w:rsid w:val="00C04309"/>
    <w:rsid w:val="00C13A47"/>
    <w:rsid w:val="00C147C6"/>
    <w:rsid w:val="00C611CE"/>
    <w:rsid w:val="00CA7A24"/>
    <w:rsid w:val="00CB0601"/>
    <w:rsid w:val="00CF4126"/>
    <w:rsid w:val="00D36400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96882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170E-009B-48A1-A2ED-A6F73DEF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22</cp:revision>
  <dcterms:created xsi:type="dcterms:W3CDTF">2018-08-29T07:22:00Z</dcterms:created>
  <dcterms:modified xsi:type="dcterms:W3CDTF">2018-11-16T06:30:00Z</dcterms:modified>
</cp:coreProperties>
</file>